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Redefining Photographic Authorship: From Mechanics to Meaning in Korean Copyright</w:t>
      </w:r>
    </w:p>
    <w:p w:rsidR="00000000" w:rsidDel="00000000" w:rsidP="00000000" w:rsidRDefault="00000000" w:rsidRPr="00000000" w14:paraId="00000002">
      <w:pPr>
        <w:spacing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ABSTRACT</w:t>
      </w:r>
    </w:p>
    <w:p w:rsidR="00000000" w:rsidDel="00000000" w:rsidP="00000000" w:rsidRDefault="00000000" w:rsidRPr="00000000" w14:paraId="00000004">
      <w:pPr>
        <w:spacing w:line="240" w:lineRule="auto"/>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essay reexamines photographic authorship in Korean copyright law, advocating a shift from technical originality to communicative meaning and social function. Integrating the theories of Sontag, Butler, Heidegger, and Arendt, it argues that authorship in photography is a relational act of framing and disclosure rather than the expression of an isolated creator. Korean copyright’s minimal originality threshold—protecting even near-identical images—exposes a persistent paradox between mechanical reproduction and creative individuality. In contrast to U.S. and EU “thin copyright” approaches, Korean jurisprudence extends protection broadly while failing to define meaningful authorship that reflects the nature of photography. Through hermeneutic critique, the essay shows how the combination of framing, interpretation, and public disclosure produces photographic meaning and influences its legal recognition. The essay concludes by pointing toward a more communicative understanding of originality—one attentive to the photography’s nature regarding roles in public meaning-making and collective world-disclosure—thereby opening a direction for rethinking copyright as an interpretive, not merely technical, institution. </w:t>
      </w:r>
    </w:p>
    <w:p w:rsidR="00000000" w:rsidDel="00000000" w:rsidP="00000000" w:rsidRDefault="00000000" w:rsidRPr="00000000" w14:paraId="00000006">
      <w:pPr>
        <w:pStyle w:val="Heading1"/>
        <w:spacing w:line="240" w:lineRule="auto"/>
        <w:rPr>
          <w:rFonts w:ascii="Times New Roman" w:cs="Times New Roman" w:eastAsia="Times New Roman" w:hAnsi="Times New Roman"/>
          <w:b w:val="1"/>
          <w:sz w:val="28"/>
          <w:szCs w:val="28"/>
        </w:rPr>
      </w:pPr>
      <w:bookmarkStart w:colFirst="0" w:colLast="0" w:name="_7h4cjdt74pnf"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7">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authorship of photography, as a mechanical reproduction and a creative means have been subject to the legal debate, has evolved over time: from a vague Romantic idealism to an established legal tradition. In contrast to western legal tradition, in South Korea, the sheer volume of court cases and the magnitude of discussion pales, necessitating an analysis and interpretation of the status quo of Korean photographic copyright law. The paper first establishes an ontological and epistemic framework of photography. Then it explores legal tension between Romantic authorship and mechanical reproduction. Despite the nature of photography, over time, the status of photography and photographers have been elevated from documentary evidence to a form of cultural artistic authorship worthy of legal protection. The tension is further investigated through comparing and integrating Sontag, Butler, Heidegger, and Arendt’s views, thereby examining how photography functions as a means to reveal meanings in society beyond mechanical reproduction. Using this framework, the paper then analyzes the copyright cases in South Korea, arguing that its holding of Korean photographic copyright law does not resolve the contradiction between mechanical reproduction and creative authorship; rather, it institutionalizes this paradox as a regulative compromise. </w:t>
      </w:r>
    </w:p>
    <w:p w:rsidR="00000000" w:rsidDel="00000000" w:rsidP="00000000" w:rsidRDefault="00000000" w:rsidRPr="00000000" w14:paraId="00000008">
      <w:pPr>
        <w:pStyle w:val="Heading1"/>
        <w:spacing w:line="240" w:lineRule="auto"/>
        <w:rPr/>
      </w:pPr>
      <w:bookmarkStart w:colFirst="0" w:colLast="0" w:name="_6a8t9nbtmb0v" w:id="1"/>
      <w:bookmarkEnd w:id="1"/>
      <w:r w:rsidDel="00000000" w:rsidR="00000000" w:rsidRPr="00000000">
        <w:rPr>
          <w:rtl w:val="0"/>
        </w:rPr>
        <w:t xml:space="preserve">Literature Review </w:t>
      </w:r>
    </w:p>
    <w:p w:rsidR="00000000" w:rsidDel="00000000" w:rsidP="00000000" w:rsidRDefault="00000000" w:rsidRPr="00000000" w14:paraId="0000000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Susan Sontag defines photography as a “miniature” of the world, the modern analog of the cave’s “shadow” in Plato’s allegory. What photographs offer is reflection of reality: proximity to the real that is at once evidentiary and estranging. As with the prisoners who misrecognize shadows as truth, we persist “in Plato’s cave,” limiting our attention on images that are partial, selective, and seductive. Photography directly appropriates the world yet only ever reveals fragments whose framing organizes our seeing and, by extension, our thinking. For Sontag, photography is a “narrowly selective transparency,” not a full-fledged interpretation. Unlike painting or prose, which conspicuously mediate, photography simulates immediacy while quietly constraining meaning. It founds “a grammar and, more importantly, an ethics of seeing,” demarcating what is legible and what is claimable as public sight.</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Because single images are discontinuous, they require paratext, such as captions, sequences, criticism, to stabilize unsure sense. Left alone, they deliver effective shocks and “found” truths rather than narratively integrated understanding. Sontag delineates the image’s limits more convincingly than she locates power within the photographic act. The locus of authority—photographer, editor, spectator, or institution—remains not fully examined. Further, in underscoring the need for discourse and images, she risks discounting photography’s native interpretive resources—form, sequence, montage—that can themselves argue. As Judith Butler notes, Sontag sometimes implies what she elsewhere denies: that photographs interpret by virtue of how they frame.</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Judith Butler repudiates the notion of photographic reality: “the frame takes part in the interpretation.” Images do not await meaning; they actively enforce it. Framing is never merely optical. It is juridical and institutional, governing who and what can appear and under which emotional and epistemic terms. The photograph thus carries political consciousness within its very form. In Butler’s account of </w:t>
      </w:r>
      <w:r w:rsidDel="00000000" w:rsidR="00000000" w:rsidRPr="00000000">
        <w:rPr>
          <w:rFonts w:ascii="Times New Roman" w:cs="Times New Roman" w:eastAsia="Times New Roman" w:hAnsi="Times New Roman"/>
          <w:sz w:val="20"/>
          <w:szCs w:val="20"/>
          <w:rtl w:val="0"/>
        </w:rPr>
        <w:t xml:space="preserve">embedded reporting</w:t>
      </w:r>
      <w:r w:rsidDel="00000000" w:rsidR="00000000" w:rsidRPr="00000000">
        <w:rPr>
          <w:rFonts w:ascii="Times New Roman" w:cs="Times New Roman" w:eastAsia="Times New Roman" w:hAnsi="Times New Roman"/>
          <w:sz w:val="20"/>
          <w:szCs w:val="20"/>
          <w:rtl w:val="0"/>
        </w:rPr>
        <w:t xml:space="preserve">, control over vantage point and circulation is a mandated technique of governance. What counts as “seeing” is curated in advance; certain angles are pre-coded as disloyal or “anti-American.”</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The upshot is that technical choices, like angle, focal plane, light, crop, are not neutral selections but normative interventions that shape both cognition and feeling for specific ends. Hence, the photograph functions simultaneously as evidence and as argument, with the frame serving as the hinge that turns fact into meaning. Butler is acute on institutions and frames, though less so regarding the singularities of aesthetic making. Their emphasis on governance and discourse can overshadow the photographer’s craft and the image’s non-interpretative ambitions.</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They also concede a paradox: images can incite moral sentiment yet consolidate prevailing analyses, moving viewers to the “threshold of understanding” without providing clear paths for action.</w:t>
      </w:r>
    </w:p>
    <w:p w:rsidR="00000000" w:rsidDel="00000000" w:rsidP="00000000" w:rsidRDefault="00000000" w:rsidRPr="00000000" w14:paraId="0000000B">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Martin Heidegger’s aesthetics allows interpretation of photography, photographer, the subject, and the world in a broader framework. He reframes photography not as mechanical capture but as a site of unconcealment (</w:t>
      </w:r>
      <w:r w:rsidDel="00000000" w:rsidR="00000000" w:rsidRPr="00000000">
        <w:rPr>
          <w:rFonts w:ascii="Times New Roman" w:cs="Times New Roman" w:eastAsia="Times New Roman" w:hAnsi="Times New Roman"/>
          <w:i w:val="1"/>
          <w:sz w:val="20"/>
          <w:szCs w:val="20"/>
          <w:rtl w:val="0"/>
        </w:rPr>
        <w:t xml:space="preserve">aletheia</w:t>
      </w:r>
      <w:r w:rsidDel="00000000" w:rsidR="00000000" w:rsidRPr="00000000">
        <w:rPr>
          <w:rFonts w:ascii="Times New Roman" w:cs="Times New Roman" w:eastAsia="Times New Roman" w:hAnsi="Times New Roman"/>
          <w:sz w:val="20"/>
          <w:szCs w:val="20"/>
          <w:rtl w:val="0"/>
        </w:rPr>
        <w:t xml:space="preserve">). A work lets a world come forth while letting earth—its raw materiality—withdraw.</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rtl w:val="0"/>
        </w:rPr>
        <w:t xml:space="preserve"> In this view, meaningful photography arises when </w:t>
      </w:r>
      <w:r w:rsidDel="00000000" w:rsidR="00000000" w:rsidRPr="00000000">
        <w:rPr>
          <w:rFonts w:ascii="Times New Roman" w:cs="Times New Roman" w:eastAsia="Times New Roman" w:hAnsi="Times New Roman"/>
          <w:i w:val="1"/>
          <w:sz w:val="20"/>
          <w:szCs w:val="20"/>
          <w:rtl w:val="0"/>
        </w:rPr>
        <w:t xml:space="preserve">Dasein</w:t>
      </w:r>
      <w:r w:rsidDel="00000000" w:rsidR="00000000" w:rsidRPr="00000000">
        <w:rPr>
          <w:rFonts w:ascii="Times New Roman" w:cs="Times New Roman" w:eastAsia="Times New Roman" w:hAnsi="Times New Roman"/>
          <w:sz w:val="20"/>
          <w:szCs w:val="20"/>
          <w:rtl w:val="0"/>
        </w:rPr>
        <w:t xml:space="preserve">, through its engagement with the camera, opens a clearing in which beings can reveal themselves as what they are. Heidegger distinguishes “</w:t>
      </w:r>
      <w:r w:rsidDel="00000000" w:rsidR="00000000" w:rsidRPr="00000000">
        <w:rPr>
          <w:rFonts w:ascii="Times New Roman" w:cs="Times New Roman" w:eastAsia="Times New Roman" w:hAnsi="Times New Roman"/>
          <w:i w:val="1"/>
          <w:sz w:val="20"/>
          <w:szCs w:val="20"/>
          <w:rtl w:val="0"/>
        </w:rPr>
        <w:t xml:space="preserve">earth</w:t>
      </w:r>
      <w:r w:rsidDel="00000000" w:rsidR="00000000" w:rsidRPr="00000000">
        <w:rPr>
          <w:rFonts w:ascii="Times New Roman" w:cs="Times New Roman" w:eastAsia="Times New Roman" w:hAnsi="Times New Roman"/>
          <w:sz w:val="20"/>
          <w:szCs w:val="20"/>
          <w:rtl w:val="0"/>
        </w:rPr>
        <w:t xml:space="preserve">” (self-concealing material ground) from “</w:t>
      </w:r>
      <w:r w:rsidDel="00000000" w:rsidR="00000000" w:rsidRPr="00000000">
        <w:rPr>
          <w:rFonts w:ascii="Times New Roman" w:cs="Times New Roman" w:eastAsia="Times New Roman" w:hAnsi="Times New Roman"/>
          <w:i w:val="1"/>
          <w:sz w:val="20"/>
          <w:szCs w:val="20"/>
          <w:rtl w:val="0"/>
        </w:rPr>
        <w:t xml:space="preserve">world</w:t>
      </w:r>
      <w:r w:rsidDel="00000000" w:rsidR="00000000" w:rsidRPr="00000000">
        <w:rPr>
          <w:rFonts w:ascii="Times New Roman" w:cs="Times New Roman" w:eastAsia="Times New Roman" w:hAnsi="Times New Roman"/>
          <w:sz w:val="20"/>
          <w:szCs w:val="20"/>
          <w:rtl w:val="0"/>
        </w:rPr>
        <w:t xml:space="preserve">” (a nexus of significance).</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rtl w:val="0"/>
        </w:rPr>
        <w:t xml:space="preserve"> In strong photographs, the camera’s mechanism becomes transparent to disclosure: composition, timing, and light do not decorate facts; they establish manifestness. Authorship, as protected in copyright, would correspond not to the bare operation of a device but to the act of disclosure itself. Meaning is neither the photographer’s fiat nor the machine’s output alone, but something that eventuates in—and is renewed by—encounters among different Dasein. However, Heidegger’s model may underestimate photography’s fundamental nature as mechanical reproduction. His framework, developed primarily for traditional art forms like painting and architecture, may not fully account for photography’s industrial reproducibility and indexical connection to the real. Additionally, the focus on authenticity and originality in Heideggerian aesthetics may conflict with photography’s capacity for infinite reproduction without any loss of essence.</w:t>
      </w:r>
    </w:p>
    <w:p w:rsidR="00000000" w:rsidDel="00000000" w:rsidP="00000000" w:rsidRDefault="00000000" w:rsidRPr="00000000" w14:paraId="0000000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Hannah Arendt’s philosophy imparts photography with additional meaning as a means to open public discourse. For Arendt, photography’s meaning consolidates where plurality and collective interaction convene—in the public realm (</w:t>
      </w:r>
      <w:r w:rsidDel="00000000" w:rsidR="00000000" w:rsidRPr="00000000">
        <w:rPr>
          <w:rFonts w:ascii="Times New Roman" w:cs="Times New Roman" w:eastAsia="Times New Roman" w:hAnsi="Times New Roman"/>
          <w:i w:val="1"/>
          <w:sz w:val="20"/>
          <w:szCs w:val="20"/>
          <w:rtl w:val="0"/>
        </w:rPr>
        <w:t xml:space="preserve">polis</w:t>
      </w:r>
      <w:r w:rsidDel="00000000" w:rsidR="00000000" w:rsidRPr="00000000">
        <w:rPr>
          <w:rFonts w:ascii="Times New Roman" w:cs="Times New Roman" w:eastAsia="Times New Roman" w:hAnsi="Times New Roman"/>
          <w:sz w:val="20"/>
          <w:szCs w:val="20"/>
          <w:rtl w:val="0"/>
        </w:rPr>
        <w:t xml:space="preserve">). Photographs, like narratives, rescue action from oblivion, offering a common world in which different viewpoints can gather. Their significance is less a private essence than a public achievement sustained by appearance, speech, and judgement.</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t xml:space="preserve"> What is “in-between,” that which is shared, appears differently to each, and becomes comprehensible only when many can speak about it together. Photographs inhabit this “space of appearance,” presenting factual traces that invite exchange without dictating consensus. They mediate between factual truth (that something happened) and opinion (what it means), enabling political discernment without collapsing into either propaganda or mere relativism.</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rtl w:val="0"/>
        </w:rPr>
        <w:t xml:space="preserve"> Arendt tends to overlook individual artistry and the aesthetic dimensions of photographic practice. Her emphasis on spectatorship and public discourse risks reducing photographs to prompts for talk, neglecting how images themselves build attention and judgement at the moment of capture. The fact-opinion dyad also weakens under contemporary image-editing and platform logics that blur the line between evidence and persuasion.</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Across these accounts, the central tension is clear: photography is at once mechanized and authored. Sontag highlights the constraint: images fragment and require discourse. Butler shows how the frame itself interprets, embedding power. Heidegger reorients authorship toward disclosure rather than device, regarding its form as the event of truth. Arendt relocates meaning to the </w:t>
      </w:r>
      <w:r w:rsidDel="00000000" w:rsidR="00000000" w:rsidRPr="00000000">
        <w:rPr>
          <w:rFonts w:ascii="Times New Roman" w:cs="Times New Roman" w:eastAsia="Times New Roman" w:hAnsi="Times New Roman"/>
          <w:i w:val="1"/>
          <w:sz w:val="20"/>
          <w:szCs w:val="20"/>
          <w:rtl w:val="0"/>
        </w:rPr>
        <w:t xml:space="preserve">polis</w:t>
      </w:r>
      <w:r w:rsidDel="00000000" w:rsidR="00000000" w:rsidRPr="00000000">
        <w:rPr>
          <w:rFonts w:ascii="Times New Roman" w:cs="Times New Roman" w:eastAsia="Times New Roman" w:hAnsi="Times New Roman"/>
          <w:sz w:val="20"/>
          <w:szCs w:val="20"/>
          <w:rtl w:val="0"/>
        </w:rPr>
        <w:t xml:space="preserve">, where plurality confers significance. Taken together, these positions illuminate why copyright doctrine struggles to balance minimal originality against indexical capture: the law must acknowledge a medium that is reproducible by design yet capable of distinctive disclosure and public world-making. </w:t>
      </w:r>
    </w:p>
    <w:p w:rsidR="00000000" w:rsidDel="00000000" w:rsidP="00000000" w:rsidRDefault="00000000" w:rsidRPr="00000000" w14:paraId="0000000E">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Guthrie shows that the assertion of authorship in photography preceded its formal legalization or doctrinal recognition. The imprint “</w:t>
      </w:r>
      <w:r w:rsidDel="00000000" w:rsidR="00000000" w:rsidRPr="00000000">
        <w:rPr>
          <w:rFonts w:ascii="Times New Roman" w:cs="Times New Roman" w:eastAsia="Times New Roman" w:hAnsi="Times New Roman"/>
          <w:sz w:val="20"/>
          <w:szCs w:val="20"/>
          <w:rtl w:val="0"/>
        </w:rPr>
        <w:t xml:space="preserve">Entered According to Act of Congress,</w:t>
      </w:r>
      <w:r w:rsidDel="00000000" w:rsidR="00000000" w:rsidRPr="00000000">
        <w:rPr>
          <w:rFonts w:ascii="Times New Roman" w:cs="Times New Roman" w:eastAsia="Times New Roman" w:hAnsi="Times New Roman"/>
          <w:sz w:val="20"/>
          <w:szCs w:val="20"/>
          <w:rtl w:val="0"/>
        </w:rPr>
        <w:t xml:space="preserve">” used by figures such as Mathew Brady and the Langenheim Brothers, functioned before clear statutory coverage as both a practical warning and a ritual of authorship. In Gruthrie’s account, the stamp is an early technology of authorship, deterring infringement while conferring symbolic legitimacy on photographer and image.</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Burrow-Giles v. Sarony </w:t>
      </w:r>
      <w:r w:rsidDel="00000000" w:rsidR="00000000" w:rsidRPr="00000000">
        <w:rPr>
          <w:rFonts w:ascii="Times New Roman" w:cs="Times New Roman" w:eastAsia="Times New Roman" w:hAnsi="Times New Roman"/>
          <w:sz w:val="20"/>
          <w:szCs w:val="20"/>
          <w:rtl w:val="0"/>
        </w:rPr>
        <w:t xml:space="preserve">(1884) marks a doctrinal hinge. The Court characterizes Sarony as “author, inventor, designer, and proprietor,” grounding protection in the photographer’s “original intellectual conception” expressed through pose, lighting, costume, and arrangement. Photographic making is thus juristically reframed from mechanical capture to creative conception.</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By contrast, </w:t>
      </w:r>
      <w:r w:rsidDel="00000000" w:rsidR="00000000" w:rsidRPr="00000000">
        <w:rPr>
          <w:rFonts w:ascii="Times New Roman" w:cs="Times New Roman" w:eastAsia="Times New Roman" w:hAnsi="Times New Roman"/>
          <w:i w:val="1"/>
          <w:sz w:val="20"/>
          <w:szCs w:val="20"/>
          <w:rtl w:val="0"/>
        </w:rPr>
        <w:t xml:space="preserve">Wood v. Abbott</w:t>
      </w:r>
      <w:r w:rsidDel="00000000" w:rsidR="00000000" w:rsidRPr="00000000">
        <w:rPr>
          <w:rFonts w:ascii="Times New Roman" w:cs="Times New Roman" w:eastAsia="Times New Roman" w:hAnsi="Times New Roman"/>
          <w:sz w:val="20"/>
          <w:szCs w:val="20"/>
          <w:rtl w:val="0"/>
        </w:rPr>
        <w:t xml:space="preserve"> (1886) shows how legal doctrine initially lagged behind photographic practice. The court ruled that photographs could not be copyrighted under existing statutes because photography had not been invented when the relevant copyright act was passed. This decision illustrates that photographic authorship was historically contested, not self-evident.</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Guthrie’s imprint studies reveal a two-folded effect: while deterrence operated primarily on a psychological level despite low litigation, symbolic legitimacy elevated both image and its maker within a field of uncertain rights. The stamp did not merely invoke law; it produced an authored status in public culture. Guthrie’s analysis provides unexpected philosophical depth through his observation that both photography and copyright imprints function as acts of stabilization against flux.</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Photography fixes the fleeting moment against time and memory’s erosion, while copyright imprints fix authorship against cultural uncertainty over creative ownership. This dual fixation resonates with Korean copyright law’s emphasis on works expressing “human ideas or emotions,” suggesting a parallel between temporal fixation of the image and normative fixation of authorial identity.</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Jaszi argues that modern authorship is a Romantic construct—an ideology that legitimates markets and mediates industry relationships more than it mirrors natural creative processes. The “author-genius” concept emerges from Romanticism’s emphasis on special creativity, originality, and individual expression endowed to authors—qualities that legal doctrine then mobilizes to determine copyright eligibility.</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In </w:t>
      </w:r>
      <w:r w:rsidDel="00000000" w:rsidR="00000000" w:rsidRPr="00000000">
        <w:rPr>
          <w:rFonts w:ascii="Times New Roman" w:cs="Times New Roman" w:eastAsia="Times New Roman" w:hAnsi="Times New Roman"/>
          <w:i w:val="1"/>
          <w:sz w:val="20"/>
          <w:szCs w:val="20"/>
          <w:rtl w:val="0"/>
        </w:rPr>
        <w:t xml:space="preserve">Burrow-Giles</w:t>
      </w:r>
      <w:r w:rsidDel="00000000" w:rsidR="00000000" w:rsidRPr="00000000">
        <w:rPr>
          <w:rFonts w:ascii="Times New Roman" w:cs="Times New Roman" w:eastAsia="Times New Roman" w:hAnsi="Times New Roman"/>
          <w:sz w:val="20"/>
          <w:szCs w:val="20"/>
          <w:rtl w:val="0"/>
        </w:rPr>
        <w:t xml:space="preserve">, courts translate technical choices, like pose, light, arrangement, into indices of genius. Routine craft is juridically elevated into authorial signature. The decision thus exemplifies how copyright does constitutive work: it manufactures “authorship” for a medium long dismissed as mechanical. Set against Sontag, Heidegger, and Arendt's accounts of framing and world-disclosure, Jaszi exposes how legal discourse compresses complex social and aesthetic processes into a solitary author-figure. This critique proves particularly relevant to contemporary debates over AI and collaborative creation, where traditional authorship concepts face increasing strain. As cultural production becomes ever more corporate and collective, the law involves the Romantic authors more insistently—a defensive strategy to preserve traditional categories and the property logics attached to them. </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Buccafusco reconceives authorship as the intentional creation of mental effects in an audience. Protection should attach to the minimally original, fixed manner by which a work produces cognitive and affective responses, shifting focus from the making of objects to the making of experiences. Reading the Progress Clause’s “Writing” of “Authors,” Buccafusco argues that authorship entails intentional effect-creation, not mere operation of a device. Burrow-Giles supports this view by locating authorship in the photographer’s “mental conception,” while </w:t>
      </w:r>
      <w:r w:rsidDel="00000000" w:rsidR="00000000" w:rsidRPr="00000000">
        <w:rPr>
          <w:rFonts w:ascii="Times New Roman" w:cs="Times New Roman" w:eastAsia="Times New Roman" w:hAnsi="Times New Roman"/>
          <w:i w:val="1"/>
          <w:sz w:val="20"/>
          <w:szCs w:val="20"/>
          <w:rtl w:val="0"/>
        </w:rPr>
        <w:t xml:space="preserve">Bleistein v. Donaldson</w:t>
      </w:r>
      <w:r w:rsidDel="00000000" w:rsidR="00000000" w:rsidRPr="00000000">
        <w:rPr>
          <w:rFonts w:ascii="Times New Roman" w:cs="Times New Roman" w:eastAsia="Times New Roman" w:hAnsi="Times New Roman"/>
          <w:sz w:val="20"/>
          <w:szCs w:val="20"/>
          <w:rtl w:val="0"/>
        </w:rPr>
        <w:t xml:space="preserve"> (1903) lowers the bar to “human individuality,” decoupling protection from aesthetic merit. Some photographs may fall outside protection where intentional effect is not credibly shown; conversely, images that deliberately orchestrate viewer response meet the threshold.</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The framework aligns with Korean doctrine emphasizing expression of “human ideas or emotions,” foregrounding communicative intent over sole-standing medium mechanics. Difficulties remain in demonstrating intentionality and assessing aesthetic or emotional effects across diverse audiences. Still, mental-effect theory offers a bridge between individual creativity and social reception, illuminating how photographic authorship can be understood without reverting to Romantic mythology. </w:t>
      </w:r>
    </w:p>
    <w:p w:rsidR="00000000" w:rsidDel="00000000" w:rsidP="00000000" w:rsidRDefault="00000000" w:rsidRPr="00000000" w14:paraId="0000001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Guthrie, Jaszi, and Buccafusco converge on a core claim: photography is not mere mechanism: it is humanly authored through choice, intention, and effect. The arc from </w:t>
      </w:r>
      <w:r w:rsidDel="00000000" w:rsidR="00000000" w:rsidRPr="00000000">
        <w:rPr>
          <w:rFonts w:ascii="Times New Roman" w:cs="Times New Roman" w:eastAsia="Times New Roman" w:hAnsi="Times New Roman"/>
          <w:i w:val="1"/>
          <w:sz w:val="20"/>
          <w:szCs w:val="20"/>
          <w:rtl w:val="0"/>
        </w:rPr>
        <w:t xml:space="preserve">Wood v. Abbott </w:t>
      </w:r>
      <w:r w:rsidDel="00000000" w:rsidR="00000000" w:rsidRPr="00000000">
        <w:rPr>
          <w:rFonts w:ascii="Times New Roman" w:cs="Times New Roman" w:eastAsia="Times New Roman" w:hAnsi="Times New Roman"/>
          <w:sz w:val="20"/>
          <w:szCs w:val="20"/>
          <w:rtl w:val="0"/>
        </w:rPr>
        <w:t xml:space="preserve">to </w:t>
      </w:r>
      <w:r w:rsidDel="00000000" w:rsidR="00000000" w:rsidRPr="00000000">
        <w:rPr>
          <w:rFonts w:ascii="Times New Roman" w:cs="Times New Roman" w:eastAsia="Times New Roman" w:hAnsi="Times New Roman"/>
          <w:i w:val="1"/>
          <w:sz w:val="20"/>
          <w:szCs w:val="20"/>
          <w:rtl w:val="0"/>
        </w:rPr>
        <w:t xml:space="preserve">Burrow-Giles</w:t>
      </w:r>
      <w:r w:rsidDel="00000000" w:rsidR="00000000" w:rsidRPr="00000000">
        <w:rPr>
          <w:rFonts w:ascii="Times New Roman" w:cs="Times New Roman" w:eastAsia="Times New Roman" w:hAnsi="Times New Roman"/>
          <w:sz w:val="20"/>
          <w:szCs w:val="20"/>
          <w:rtl w:val="0"/>
        </w:rPr>
        <w:t xml:space="preserve"> tracks a broader revaluation of technology and creativity—less linear progress than negotiated settlement among cultural practice, ideology, and doctrine. Korean copyright’s emphasis on works expressing “human ideas or emotions,” coupled with the absence of a formal fixation requirement, reframes the threshold around expressive act rather than material embodiment. This orientation sits closer to Buccafusco’s focus on communicative intention and audience effect than to Anglo-American fixation doctrine, while still grappling with the medium’s mechanical reproducibility.  </w:t>
      </w:r>
    </w:p>
    <w:p w:rsidR="00000000" w:rsidDel="00000000" w:rsidP="00000000" w:rsidRDefault="00000000" w:rsidRPr="00000000" w14:paraId="00000012">
      <w:pPr>
        <w:pStyle w:val="Heading1"/>
        <w:spacing w:line="240" w:lineRule="auto"/>
        <w:rPr/>
      </w:pPr>
      <w:bookmarkStart w:colFirst="0" w:colLast="0" w:name="_hidvnnojhxtc" w:id="2"/>
      <w:bookmarkEnd w:id="2"/>
      <w:r w:rsidDel="00000000" w:rsidR="00000000" w:rsidRPr="00000000">
        <w:rPr>
          <w:rtl w:val="0"/>
        </w:rPr>
        <w:t xml:space="preserve">Methodology </w:t>
      </w:r>
    </w:p>
    <w:p w:rsidR="00000000" w:rsidDel="00000000" w:rsidP="00000000" w:rsidRDefault="00000000" w:rsidRPr="00000000" w14:paraId="0000001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adopts a qualitative text-analytic approach that combines doctrinal legal analysis with philosophical hermeneutics to examine how copyright law conceptualizes photographic authorship. The doctrinal component focuses on statutes, case law, and scholarly commentary across Korean, U.S., and EU contexts, with particular attention to how each system defines originality and addresses disputes over near-identical photographs. Landmark decision—</w:t>
      </w:r>
      <w:r w:rsidDel="00000000" w:rsidR="00000000" w:rsidRPr="00000000">
        <w:rPr>
          <w:rFonts w:ascii="Times New Roman" w:cs="Times New Roman" w:eastAsia="Times New Roman" w:hAnsi="Times New Roman"/>
          <w:i w:val="1"/>
          <w:sz w:val="20"/>
          <w:szCs w:val="20"/>
          <w:rtl w:val="0"/>
        </w:rPr>
        <w:t xml:space="preserve">Burrow-Giles Lithographic Co. v. Sarony </w:t>
      </w:r>
      <w:r w:rsidDel="00000000" w:rsidR="00000000" w:rsidRPr="00000000">
        <w:rPr>
          <w:rFonts w:ascii="Times New Roman" w:cs="Times New Roman" w:eastAsia="Times New Roman" w:hAnsi="Times New Roman"/>
          <w:sz w:val="20"/>
          <w:szCs w:val="20"/>
          <w:rtl w:val="0"/>
        </w:rPr>
        <w:t xml:space="preserve">(1884) and</w:t>
      </w:r>
      <w:r w:rsidDel="00000000" w:rsidR="00000000" w:rsidRPr="00000000">
        <w:rPr>
          <w:rFonts w:ascii="Times New Roman" w:cs="Times New Roman" w:eastAsia="Times New Roman" w:hAnsi="Times New Roman"/>
          <w:i w:val="1"/>
          <w:sz w:val="20"/>
          <w:szCs w:val="20"/>
          <w:rtl w:val="0"/>
        </w:rPr>
        <w:t xml:space="preserve"> Bleistein v. Donaldson Lithographing Co. </w:t>
      </w:r>
      <w:r w:rsidDel="00000000" w:rsidR="00000000" w:rsidRPr="00000000">
        <w:rPr>
          <w:rFonts w:ascii="Times New Roman" w:cs="Times New Roman" w:eastAsia="Times New Roman" w:hAnsi="Times New Roman"/>
          <w:sz w:val="20"/>
          <w:szCs w:val="20"/>
          <w:rtl w:val="0"/>
        </w:rPr>
        <w:t xml:space="preserve">(1903)</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the U.S., </w:t>
      </w:r>
      <w:r w:rsidDel="00000000" w:rsidR="00000000" w:rsidRPr="00000000">
        <w:rPr>
          <w:rFonts w:ascii="Times New Roman" w:cs="Times New Roman" w:eastAsia="Times New Roman" w:hAnsi="Times New Roman"/>
          <w:i w:val="1"/>
          <w:sz w:val="20"/>
          <w:szCs w:val="20"/>
          <w:rtl w:val="0"/>
        </w:rPr>
        <w:t xml:space="preserve">Supreme Court 98Da43366 </w:t>
      </w:r>
      <w:r w:rsidDel="00000000" w:rsidR="00000000" w:rsidRPr="00000000">
        <w:rPr>
          <w:rFonts w:ascii="Times New Roman" w:cs="Times New Roman" w:eastAsia="Times New Roman" w:hAnsi="Times New Roman"/>
          <w:sz w:val="20"/>
          <w:szCs w:val="20"/>
          <w:rtl w:val="0"/>
        </w:rPr>
        <w:t xml:space="preserve">(2001)</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and</w:t>
      </w:r>
      <w:r w:rsidDel="00000000" w:rsidR="00000000" w:rsidRPr="00000000">
        <w:rPr>
          <w:rFonts w:ascii="Times New Roman" w:cs="Times New Roman" w:eastAsia="Times New Roman" w:hAnsi="Times New Roman"/>
          <w:i w:val="1"/>
          <w:sz w:val="20"/>
          <w:szCs w:val="20"/>
          <w:rtl w:val="0"/>
        </w:rPr>
        <w:t xml:space="preserve"> Seoul High Court 2011Nu31319 </w:t>
      </w:r>
      <w:r w:rsidDel="00000000" w:rsidR="00000000" w:rsidRPr="00000000">
        <w:rPr>
          <w:rFonts w:ascii="Times New Roman" w:cs="Times New Roman" w:eastAsia="Times New Roman" w:hAnsi="Times New Roman"/>
          <w:sz w:val="20"/>
          <w:szCs w:val="20"/>
          <w:rtl w:val="0"/>
        </w:rPr>
        <w:t xml:space="preserve">in Korea, and </w:t>
      </w:r>
      <w:r w:rsidDel="00000000" w:rsidR="00000000" w:rsidRPr="00000000">
        <w:rPr>
          <w:rFonts w:ascii="Times New Roman" w:cs="Times New Roman" w:eastAsia="Times New Roman" w:hAnsi="Times New Roman"/>
          <w:i w:val="1"/>
          <w:sz w:val="20"/>
          <w:szCs w:val="20"/>
          <w:rtl w:val="0"/>
        </w:rPr>
        <w:t xml:space="preserve">Painer v. Standard VerlagsGmbH </w:t>
      </w:r>
      <w:r w:rsidDel="00000000" w:rsidR="00000000" w:rsidRPr="00000000">
        <w:rPr>
          <w:rFonts w:ascii="Times New Roman" w:cs="Times New Roman" w:eastAsia="Times New Roman" w:hAnsi="Times New Roman"/>
          <w:sz w:val="20"/>
          <w:szCs w:val="20"/>
          <w:rtl w:val="0"/>
        </w:rPr>
        <w:t xml:space="preserve">(CJEU 2011) in the EU—were selected as doctrinal turning points, where courts articulated criteria for distinguishing mechanical recording from creative authorship. These cases are interpreted alongside statutory provisions such as Korea’s Copyright Act (Articles 2 and 4) and the EU’s originality standard of “intellectual creation.”</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Therefore, it exposes </w:t>
      </w:r>
      <w:r w:rsidDel="00000000" w:rsidR="00000000" w:rsidRPr="00000000">
        <w:rPr>
          <w:rFonts w:ascii="Times New Roman" w:cs="Times New Roman" w:eastAsia="Times New Roman" w:hAnsi="Times New Roman"/>
          <w:sz w:val="20"/>
          <w:szCs w:val="20"/>
          <w:rtl w:val="0"/>
        </w:rPr>
        <w:t xml:space="preserve">a doctrinal gap in Korean law: a low originality threshold that extends full protection even to near-identical images, reaffirming the myth of individual genius while eroding conceptual coherence. </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legal and philosophical strand uses Sontag, Heidegger, Butler, Arendt, Guthrie, Jaszi, and Buccafusco for hermeneutic interpretation to interrogate the Romantic assumption of solitary authorship embedded in law. These thinkers reframe photography as a relational act shaped by framing, interpretation, and collective meaning-making, suggesting that originality is contextual rather than intrinsic. </w:t>
      </w:r>
    </w:p>
    <w:p w:rsidR="00000000" w:rsidDel="00000000" w:rsidP="00000000" w:rsidRDefault="00000000" w:rsidRPr="00000000" w14:paraId="0000001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analytic procedure unfolds in three stages. First, a doctrinal diagnosis examines how courts articulate and apply originality standards. Second, a conceptual critique utilizes hermeneutic interpretation to uncover the tension between Romantic authorship and photography’s mechanical nature. Third, a normative synthesis integrates doctrinal and philosophical insights into recommendations for Korean courts, proposing that originality be assessed through communicative intent, framing, and social function rather than minimal technical variation. </w:t>
      </w:r>
    </w:p>
    <w:p w:rsidR="00000000" w:rsidDel="00000000" w:rsidP="00000000" w:rsidRDefault="00000000" w:rsidRPr="00000000" w14:paraId="0000001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combined method advances a hermeneutic-realist orientation: treating judicial opinions and philosophical texts alike as evolving interpretations through which law negotiates, rather than resolves, the persistent paradox between mechanical reproduction and creativity. By articulating case selection, comparative rationale, and analytic procedure, the methodology ensures that the study is both legally rigorous and philosophically coherent. </w:t>
      </w:r>
    </w:p>
    <w:p w:rsidR="00000000" w:rsidDel="00000000" w:rsidP="00000000" w:rsidRDefault="00000000" w:rsidRPr="00000000" w14:paraId="00000017">
      <w:pPr>
        <w:pStyle w:val="Heading1"/>
        <w:spacing w:line="240" w:lineRule="auto"/>
        <w:rPr/>
      </w:pPr>
      <w:bookmarkStart w:colFirst="0" w:colLast="0" w:name="_m4insa71swtv" w:id="3"/>
      <w:bookmarkEnd w:id="3"/>
      <w:r w:rsidDel="00000000" w:rsidR="00000000" w:rsidRPr="00000000">
        <w:rPr>
          <w:rtl w:val="0"/>
        </w:rPr>
        <w:t xml:space="preserve">Case analysis: Korean Judicial Perspectives On Photographic Authorship </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Korean copyright jurisprudence shows the law’s continuing effort to reconcile mechanical reproduction with creative authorship. The Copyright Act defines the boundary of protection in explicitly humanistic terms. Article 2 specifies that only “creative expressions” are protectable, excluding mere ideas or factual data, while Article 4(1)(6) includes “photographic works and works expressed by a method similar to photography” within the scope of copyrightable subject matter.</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The standard of creativity under Korean case law is exceptionally low. The Supreme Court has held that it is sufficient for a work to reflect “the author’s individuality and creative expression.”</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Thus, even minimal differences in angle, focus, exposure, or framing can confer originality. Yet, this generosity creates an internal tension: the same legal framework that recognizes creative individuality must still distinguish it from mechanical reproduction, the rudiment of the photographic act itself. </w:t>
      </w:r>
    </w:p>
    <w:p w:rsidR="00000000" w:rsidDel="00000000" w:rsidP="00000000" w:rsidRDefault="00000000" w:rsidRPr="00000000" w14:paraId="0000001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landmark decisions—</w:t>
      </w:r>
      <w:r w:rsidDel="00000000" w:rsidR="00000000" w:rsidRPr="00000000">
        <w:rPr>
          <w:rFonts w:ascii="Times New Roman" w:cs="Times New Roman" w:eastAsia="Times New Roman" w:hAnsi="Times New Roman"/>
          <w:i w:val="1"/>
          <w:sz w:val="20"/>
          <w:szCs w:val="20"/>
          <w:rtl w:val="0"/>
        </w:rPr>
        <w:t xml:space="preserve">Supreme Court 98Da43366 (2001.5.8)</w:t>
      </w:r>
      <w:r w:rsidDel="00000000" w:rsidR="00000000" w:rsidRPr="00000000">
        <w:rPr>
          <w:rFonts w:ascii="Times New Roman" w:cs="Times New Roman" w:eastAsia="Times New Roman" w:hAnsi="Times New Roman"/>
          <w:sz w:val="20"/>
          <w:szCs w:val="20"/>
          <w:rtl w:val="0"/>
        </w:rPr>
        <w:t xml:space="preserve"> and</w:t>
      </w:r>
      <w:r w:rsidDel="00000000" w:rsidR="00000000" w:rsidRPr="00000000">
        <w:rPr>
          <w:rFonts w:ascii="Times New Roman" w:cs="Times New Roman" w:eastAsia="Times New Roman" w:hAnsi="Times New Roman"/>
          <w:i w:val="1"/>
          <w:sz w:val="20"/>
          <w:szCs w:val="20"/>
          <w:rtl w:val="0"/>
        </w:rPr>
        <w:t xml:space="preserve"> Seoul High Court 2011Na31319</w:t>
      </w:r>
      <w:r w:rsidDel="00000000" w:rsidR="00000000" w:rsidRPr="00000000">
        <w:rPr>
          <w:rFonts w:ascii="Times New Roman" w:cs="Times New Roman" w:eastAsia="Times New Roman" w:hAnsi="Times New Roman"/>
          <w:sz w:val="20"/>
          <w:szCs w:val="20"/>
          <w:rtl w:val="0"/>
        </w:rPr>
        <w:t xml:space="preserve">—demonstrate how Korean courts have navigated this paradox through judicial reasoning that reflects broader philosophical debate about authorship, intentionality, and social function. </w:t>
      </w:r>
    </w:p>
    <w:p w:rsidR="00000000" w:rsidDel="00000000" w:rsidP="00000000" w:rsidRDefault="00000000" w:rsidRPr="00000000" w14:paraId="0000001A">
      <w:pPr>
        <w:pStyle w:val="Heading2"/>
        <w:spacing w:line="240" w:lineRule="auto"/>
        <w:rPr>
          <w:i w:val="0"/>
        </w:rPr>
      </w:pPr>
      <w:bookmarkStart w:colFirst="0" w:colLast="0" w:name="_fgva6vdm7ps5" w:id="4"/>
      <w:bookmarkEnd w:id="4"/>
      <w:r w:rsidDel="00000000" w:rsidR="00000000" w:rsidRPr="00000000">
        <w:rPr>
          <w:i w:val="0"/>
          <w:rtl w:val="0"/>
        </w:rPr>
        <w:t xml:space="preserve">Supreme Court Decision 98Da4336 (2001)</w:t>
      </w:r>
    </w:p>
    <w:p w:rsidR="00000000" w:rsidDel="00000000" w:rsidP="00000000" w:rsidRDefault="00000000" w:rsidRPr="00000000" w14:paraId="0000001B">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2001 Supreme Court decision concerned whether product photographs created for a commercial catalog constituted protectable works. The Court ruled that photographic copyright arises only when the photographer’s individuality and creativity are manifested in choices such as subjection selection, composition, lighting, camera angle, timing, and development or printing methods. Conversely, photographs that simply record a product with technical accuracy—without aesthetic or intentional intervention—are excluded from protection.</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Legally, this ruling specifies the boundary between </w:t>
      </w:r>
      <w:r w:rsidDel="00000000" w:rsidR="00000000" w:rsidRPr="00000000">
        <w:rPr>
          <w:rFonts w:ascii="Times New Roman" w:cs="Times New Roman" w:eastAsia="Times New Roman" w:hAnsi="Times New Roman"/>
          <w:i w:val="1"/>
          <w:sz w:val="20"/>
          <w:szCs w:val="20"/>
          <w:rtl w:val="0"/>
        </w:rPr>
        <w:t xml:space="preserve">fact </w:t>
      </w:r>
      <w:r w:rsidDel="00000000" w:rsidR="00000000" w:rsidRPr="00000000">
        <w:rPr>
          <w:rFonts w:ascii="Times New Roman" w:cs="Times New Roman" w:eastAsia="Times New Roman" w:hAnsi="Times New Roman"/>
          <w:sz w:val="20"/>
          <w:szCs w:val="20"/>
          <w:rtl w:val="0"/>
        </w:rPr>
        <w:t xml:space="preserve">and </w:t>
      </w:r>
      <w:r w:rsidDel="00000000" w:rsidR="00000000" w:rsidRPr="00000000">
        <w:rPr>
          <w:rFonts w:ascii="Times New Roman" w:cs="Times New Roman" w:eastAsia="Times New Roman" w:hAnsi="Times New Roman"/>
          <w:i w:val="1"/>
          <w:sz w:val="20"/>
          <w:szCs w:val="20"/>
          <w:rtl w:val="0"/>
        </w:rPr>
        <w:t xml:space="preserve">expression: </w:t>
      </w:r>
      <w:r w:rsidDel="00000000" w:rsidR="00000000" w:rsidRPr="00000000">
        <w:rPr>
          <w:rFonts w:ascii="Times New Roman" w:cs="Times New Roman" w:eastAsia="Times New Roman" w:hAnsi="Times New Roman"/>
          <w:sz w:val="20"/>
          <w:szCs w:val="20"/>
          <w:rtl w:val="0"/>
        </w:rPr>
        <w:t xml:space="preserve">authorship begins only when a photograph evidences human judgement beyond the mechanical function of the camera. Philosophically, it reflects Susan Sontag’s insight that the camera’s indexical realism limits interpretive authorship. The more faithfully an image records reality, the less it opens the space for creativity. Yet, at the same time, the Court reproduces what Peter Jaszi identifies as the Romantic author myth, treating minor technical decisions as legal proof of individuality. In Heideggerian terms, the judgement distinguishes photographs that merely exhibit “</w:t>
      </w:r>
      <w:r w:rsidDel="00000000" w:rsidR="00000000" w:rsidRPr="00000000">
        <w:rPr>
          <w:rFonts w:ascii="Times New Roman" w:cs="Times New Roman" w:eastAsia="Times New Roman" w:hAnsi="Times New Roman"/>
          <w:i w:val="1"/>
          <w:sz w:val="20"/>
          <w:szCs w:val="20"/>
          <w:rtl w:val="0"/>
        </w:rPr>
        <w:t xml:space="preserve">earth</w:t>
      </w:r>
      <w:r w:rsidDel="00000000" w:rsidR="00000000" w:rsidRPr="00000000">
        <w:rPr>
          <w:rFonts w:ascii="Times New Roman" w:cs="Times New Roman" w:eastAsia="Times New Roman" w:hAnsi="Times New Roman"/>
          <w:sz w:val="20"/>
          <w:szCs w:val="20"/>
          <w:rtl w:val="0"/>
        </w:rPr>
        <w:t xml:space="preserve">” (raw factual presence) from those that disclose “</w:t>
      </w:r>
      <w:r w:rsidDel="00000000" w:rsidR="00000000" w:rsidRPr="00000000">
        <w:rPr>
          <w:rFonts w:ascii="Times New Roman" w:cs="Times New Roman" w:eastAsia="Times New Roman" w:hAnsi="Times New Roman"/>
          <w:i w:val="1"/>
          <w:sz w:val="20"/>
          <w:szCs w:val="20"/>
          <w:rtl w:val="0"/>
        </w:rPr>
        <w:t xml:space="preserve">world</w:t>
      </w:r>
      <w:r w:rsidDel="00000000" w:rsidR="00000000" w:rsidRPr="00000000">
        <w:rPr>
          <w:rFonts w:ascii="Times New Roman" w:cs="Times New Roman" w:eastAsia="Times New Roman" w:hAnsi="Times New Roman"/>
          <w:sz w:val="20"/>
          <w:szCs w:val="20"/>
          <w:rtl w:val="0"/>
        </w:rPr>
        <w:t xml:space="preserve">” (meaning through intentional framing). </w:t>
      </w:r>
    </w:p>
    <w:p w:rsidR="00000000" w:rsidDel="00000000" w:rsidP="00000000" w:rsidRDefault="00000000" w:rsidRPr="00000000" w14:paraId="0000001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Socially, the case elevated photographers from mechanical operators to recognized authors of visual expression, effectively transforming photography into a cultural rather than purely technical practice. The Court’s reasoning also reinforces the law’s gatekeeping function: it determines when an act of seeing qualifies as creative thought. </w:t>
      </w:r>
    </w:p>
    <w:p w:rsidR="00000000" w:rsidDel="00000000" w:rsidP="00000000" w:rsidRDefault="00000000" w:rsidRPr="00000000" w14:paraId="0000001E">
      <w:pPr>
        <w:pStyle w:val="Heading2"/>
        <w:spacing w:line="240" w:lineRule="auto"/>
        <w:rPr>
          <w:i w:val="0"/>
        </w:rPr>
      </w:pPr>
      <w:bookmarkStart w:colFirst="0" w:colLast="0" w:name="_2u5ktn7clknb" w:id="5"/>
      <w:bookmarkEnd w:id="5"/>
      <w:r w:rsidDel="00000000" w:rsidR="00000000" w:rsidRPr="00000000">
        <w:rPr>
          <w:i w:val="0"/>
          <w:rtl w:val="0"/>
        </w:rPr>
        <w:t xml:space="preserve">Seoul High Court Decision 2011Nu31319</w:t>
      </w:r>
    </w:p>
    <w:p w:rsidR="00000000" w:rsidDel="00000000" w:rsidP="00000000" w:rsidRDefault="00000000" w:rsidRPr="00000000" w14:paraId="0000001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2011 Seoul High Court case addressed textbook authors who objected to government-mandated revisions, claiming a violation of their right of integrity. The Court acknowledged the creative nature of authorship but emphasized that textbooks serve a public educational purpose rather than a private artistic one. Because the authors had contractually agreed to comply with revision directives, and because the textbook </w:t>
      </w:r>
      <w:r w:rsidDel="00000000" w:rsidR="00000000" w:rsidRPr="00000000">
        <w:rPr>
          <w:rFonts w:ascii="Times New Roman" w:cs="Times New Roman" w:eastAsia="Times New Roman" w:hAnsi="Times New Roman"/>
          <w:i w:val="1"/>
          <w:sz w:val="20"/>
          <w:szCs w:val="20"/>
          <w:rtl w:val="0"/>
        </w:rPr>
        <w:t xml:space="preserve">examination</w:t>
      </w:r>
      <w:r w:rsidDel="00000000" w:rsidR="00000000" w:rsidRPr="00000000">
        <w:rPr>
          <w:rFonts w:ascii="Times New Roman" w:cs="Times New Roman" w:eastAsia="Times New Roman" w:hAnsi="Times New Roman"/>
          <w:sz w:val="20"/>
          <w:szCs w:val="20"/>
          <w:rtl w:val="0"/>
        </w:rPr>
        <w:t xml:space="preserve"> process grants the state authority to maintain educational accuracy and constitutional alignment, the Court held that public interest could legitimately limit individual integral rights. </w:t>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reasoning redefines authorship as context-dependent and socially contingent, not an absolute personal entitlement. The decision resonates with Judith Butler’s concept of the </w:t>
      </w:r>
      <w:r w:rsidDel="00000000" w:rsidR="00000000" w:rsidRPr="00000000">
        <w:rPr>
          <w:rFonts w:ascii="Times New Roman" w:cs="Times New Roman" w:eastAsia="Times New Roman" w:hAnsi="Times New Roman"/>
          <w:i w:val="1"/>
          <w:sz w:val="20"/>
          <w:szCs w:val="20"/>
          <w:rtl w:val="0"/>
        </w:rPr>
        <w:t xml:space="preserve">frame—</w:t>
      </w:r>
      <w:r w:rsidDel="00000000" w:rsidR="00000000" w:rsidRPr="00000000">
        <w:rPr>
          <w:rFonts w:ascii="Times New Roman" w:cs="Times New Roman" w:eastAsia="Times New Roman" w:hAnsi="Times New Roman"/>
          <w:sz w:val="20"/>
          <w:szCs w:val="20"/>
          <w:rtl w:val="0"/>
        </w:rPr>
        <w:t xml:space="preserve">the institutional structure that determines what can be seen, said, or circulated. The government’s revision orders function as such a frame, shaping the collective narrative under the guise of “public good.” Simultaneously, the ruling reflects Hannah Arendt’s notion of the </w:t>
      </w:r>
      <w:r w:rsidDel="00000000" w:rsidR="00000000" w:rsidRPr="00000000">
        <w:rPr>
          <w:rFonts w:ascii="Times New Roman" w:cs="Times New Roman" w:eastAsia="Times New Roman" w:hAnsi="Times New Roman"/>
          <w:i w:val="1"/>
          <w:sz w:val="20"/>
          <w:szCs w:val="20"/>
          <w:rtl w:val="0"/>
        </w:rPr>
        <w:t xml:space="preserve">public realm</w:t>
      </w:r>
      <w:r w:rsidDel="00000000" w:rsidR="00000000" w:rsidRPr="00000000">
        <w:rPr>
          <w:rFonts w:ascii="Times New Roman" w:cs="Times New Roman" w:eastAsia="Times New Roman" w:hAnsi="Times New Roman"/>
          <w:sz w:val="20"/>
          <w:szCs w:val="20"/>
          <w:rtl w:val="0"/>
        </w:rPr>
        <w:t xml:space="preserve"> as a space where meaning derives from plurality and discourse rather than solitary authorship. Creative works that operate within public institutions must therefore remain open to reinterpretation and revision. </w:t>
      </w:r>
    </w:p>
    <w:p w:rsidR="00000000" w:rsidDel="00000000" w:rsidP="00000000" w:rsidRDefault="00000000" w:rsidRPr="00000000" w14:paraId="0000002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Viewed politically, the ruling illustrates how the idea of “public interest” reflects the prevailing governmental discourse—a Foucauldian dynamic in which knowledge and power co-produce what counts as acceptable truth. Extending this to photography, images that serve journalistic, governmental, or educational functions may likewise be altered or reframed for public objectives, ultimately blurring the line between creative autonomy and institutional authorship. </w:t>
      </w:r>
    </w:p>
    <w:p w:rsidR="00000000" w:rsidDel="00000000" w:rsidP="00000000" w:rsidRDefault="00000000" w:rsidRPr="00000000" w14:paraId="00000022">
      <w:pPr>
        <w:pStyle w:val="Heading2"/>
        <w:spacing w:line="240" w:lineRule="auto"/>
        <w:rPr>
          <w:i w:val="0"/>
        </w:rPr>
      </w:pPr>
      <w:bookmarkStart w:colFirst="0" w:colLast="0" w:name="_nxy4j4k84s6h" w:id="6"/>
      <w:bookmarkEnd w:id="6"/>
      <w:r w:rsidDel="00000000" w:rsidR="00000000" w:rsidRPr="00000000">
        <w:rPr>
          <w:i w:val="0"/>
          <w:rtl w:val="0"/>
        </w:rPr>
        <w:t xml:space="preserve">Additional Boundary: Portrait Photography and Consent</w:t>
      </w:r>
    </w:p>
    <w:p w:rsidR="00000000" w:rsidDel="00000000" w:rsidP="00000000" w:rsidRDefault="00000000" w:rsidRPr="00000000" w14:paraId="0000002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same balance between expression and social responsibility appears in Article 35(4) of the Copyright Act, which provides that “in the case of a portrait or similar photographic work commissioned by another, the work may not be used without the consent of the commissioner.” This provision highlights that even when a photograph satisfies the requirement of creative expression, its use remains limited by personality and privacy rights. It aligns with Arendt’s distinction between the private and public spheres and with Butler’s politics of visibility: the right to appear must coexist with the right not to be exposed. </w:t>
      </w:r>
    </w:p>
    <w:p w:rsidR="00000000" w:rsidDel="00000000" w:rsidP="00000000" w:rsidRDefault="00000000" w:rsidRPr="00000000" w14:paraId="0000002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Across these doctrines and rulings, Korean copyright law emerges not as a definitive arbiter of authorship but as a mediator of contradiction. The Supreme Court protects creativity by marking the point where human agency intervenes in the mechanical process; the Seoul High Court constrains that agency when expression enters public service; and Article 35(4) moderates artistic freedom through ethical and personal boundaries. </w:t>
      </w:r>
    </w:p>
    <w:p w:rsidR="00000000" w:rsidDel="00000000" w:rsidP="00000000" w:rsidRDefault="00000000" w:rsidRPr="00000000" w14:paraId="0000002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Together, they show that the law does not resolve the tension between mechanical reproduction and human expression; it institutionalizes it. By transforming philosophical paradox into legal criteria, Korean copyright law functions as a cultural mechanism for balancing autonomy, responsibility, and technological mediation. In doing so, it maintains photography’s status as both a product of machine and a vessel of mind, preserving creativity not as an absolute truth but as an ongoing negotiation within the social order. </w:t>
      </w:r>
    </w:p>
    <w:p w:rsidR="00000000" w:rsidDel="00000000" w:rsidP="00000000" w:rsidRDefault="00000000" w:rsidRPr="00000000" w14:paraId="00000026">
      <w:pPr>
        <w:pStyle w:val="Heading1"/>
        <w:spacing w:line="240" w:lineRule="auto"/>
        <w:rPr/>
      </w:pPr>
      <w:bookmarkStart w:colFirst="0" w:colLast="0" w:name="_jz8bj4qye2da" w:id="7"/>
      <w:bookmarkEnd w:id="7"/>
      <w:r w:rsidDel="00000000" w:rsidR="00000000" w:rsidRPr="00000000">
        <w:rPr>
          <w:rtl w:val="0"/>
        </w:rPr>
        <w:t xml:space="preserve">Comparative Analysis: European Approaches to Photographic Authorship </w:t>
      </w:r>
    </w:p>
    <w:p w:rsidR="00000000" w:rsidDel="00000000" w:rsidP="00000000" w:rsidRDefault="00000000" w:rsidRPr="00000000" w14:paraId="00000027">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Europe is often seen as a global norm-setter in copyright.</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By referencing European standards, it is useful to consider how European jurisdictions conceptualize photographic authorships. Across the United Kingdom, France, and Germany, courts confront the same ontological tension between photography’s mechanical nature and its claim to creativity. Yet, their responses diverge in emphasis—whether originality arises from intellectual design, aesthetic distinction, or gradations of creative effort. Therefore, these systems reveal how legal institutions translate the philosophical question of authorship into a concrete threshold of ruling the doctrines. </w:t>
      </w:r>
    </w:p>
    <w:p w:rsidR="00000000" w:rsidDel="00000000" w:rsidP="00000000" w:rsidRDefault="00000000" w:rsidRPr="00000000" w14:paraId="00000028">
      <w:pPr>
        <w:pStyle w:val="Heading2"/>
        <w:spacing w:line="240" w:lineRule="auto"/>
        <w:rPr>
          <w:i w:val="0"/>
        </w:rPr>
      </w:pPr>
      <w:bookmarkStart w:colFirst="0" w:colLast="0" w:name="_iauaukf0xjqa" w:id="8"/>
      <w:bookmarkEnd w:id="8"/>
      <w:r w:rsidDel="00000000" w:rsidR="00000000" w:rsidRPr="00000000">
        <w:rPr>
          <w:i w:val="0"/>
          <w:rtl w:val="0"/>
        </w:rPr>
        <w:t xml:space="preserve">United Kingdom and the European Standard: Authorship as Intellectual Creation </w:t>
      </w:r>
    </w:p>
    <w:p w:rsidR="00000000" w:rsidDel="00000000" w:rsidP="00000000" w:rsidRDefault="00000000" w:rsidRPr="00000000" w14:paraId="0000002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European Court of </w:t>
      </w:r>
      <w:r w:rsidDel="00000000" w:rsidR="00000000" w:rsidRPr="00000000">
        <w:rPr>
          <w:rFonts w:ascii="Times New Roman" w:cs="Times New Roman" w:eastAsia="Times New Roman" w:hAnsi="Times New Roman"/>
          <w:i w:val="1"/>
          <w:sz w:val="20"/>
          <w:szCs w:val="20"/>
          <w:rtl w:val="0"/>
        </w:rPr>
        <w:t xml:space="preserve">Justice’s Painer v. Standard VerlagsGmbH (2011)</w:t>
      </w:r>
      <w:r w:rsidDel="00000000" w:rsidR="00000000" w:rsidRPr="00000000">
        <w:rPr>
          <w:rFonts w:ascii="Times New Roman" w:cs="Times New Roman" w:eastAsia="Times New Roman" w:hAnsi="Times New Roman"/>
          <w:sz w:val="20"/>
          <w:szCs w:val="20"/>
          <w:rtl w:val="0"/>
        </w:rPr>
        <w:t xml:space="preserve">, the Court established that a photograph qualifies for protection only when it reflects “the author’s own intellectual creation.” The ruling marked a decisive shift from the earlier British “skill, labour, and judgment” test toward a conception of authorship rooted in free and creative choice—in how the photographer frames, lights, times, or directs a subject.</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These elements, though technical in form, are treated as signs of mental authorship. </w:t>
      </w:r>
    </w:p>
    <w:p w:rsidR="00000000" w:rsidDel="00000000" w:rsidP="00000000" w:rsidRDefault="00000000" w:rsidRPr="00000000" w14:paraId="0000002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Philosophically, this framework aligns with Sontag’s understanding of photography as an act of framing rather than passive recording: the photograph becomes art when the photographer’s perspective meditates reality. It also resonates with Buccafusco’s idea of the “mental effect”—that authorship lies not merely in the act of making but in the intentional shaping of a viewer’s perception. </w:t>
      </w:r>
    </w:p>
    <w:p w:rsidR="00000000" w:rsidDel="00000000" w:rsidP="00000000" w:rsidRDefault="00000000" w:rsidRPr="00000000" w14:paraId="0000002B">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subsequent Digital Single Market Directive reinforced this stance by excluding </w:t>
      </w:r>
      <w:r w:rsidDel="00000000" w:rsidR="00000000" w:rsidRPr="00000000">
        <w:rPr>
          <w:rFonts w:ascii="Times New Roman" w:cs="Times New Roman" w:eastAsia="Times New Roman" w:hAnsi="Times New Roman"/>
          <w:i w:val="1"/>
          <w:sz w:val="20"/>
          <w:szCs w:val="20"/>
          <w:rtl w:val="0"/>
        </w:rPr>
        <w:t xml:space="preserve">faithful reproductions </w:t>
      </w:r>
      <w:r w:rsidDel="00000000" w:rsidR="00000000" w:rsidRPr="00000000">
        <w:rPr>
          <w:rFonts w:ascii="Times New Roman" w:cs="Times New Roman" w:eastAsia="Times New Roman" w:hAnsi="Times New Roman"/>
          <w:sz w:val="20"/>
          <w:szCs w:val="20"/>
          <w:rtl w:val="0"/>
        </w:rPr>
        <w:t xml:space="preserve">of public-domain artworks from protection.</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Mechanical fidelity, without creative intervention, was deemed insufficient. Compared to Korea’s generous threshold, the European standard draws a clearer line between mechanical depiction and intellectual creation, framing authorship as a deliberate cognitive act rather than an institutional presumption. </w:t>
      </w:r>
    </w:p>
    <w:p w:rsidR="00000000" w:rsidDel="00000000" w:rsidP="00000000" w:rsidRDefault="00000000" w:rsidRPr="00000000" w14:paraId="0000002C">
      <w:pPr>
        <w:pStyle w:val="Heading2"/>
        <w:spacing w:line="240" w:lineRule="auto"/>
        <w:rPr>
          <w:i w:val="0"/>
        </w:rPr>
      </w:pPr>
      <w:bookmarkStart w:colFirst="0" w:colLast="0" w:name="_h010l05hw2m2" w:id="9"/>
      <w:bookmarkEnd w:id="9"/>
      <w:r w:rsidDel="00000000" w:rsidR="00000000" w:rsidRPr="00000000">
        <w:rPr>
          <w:i w:val="0"/>
          <w:rtl w:val="0"/>
        </w:rPr>
        <w:t xml:space="preserve">France: Authorship as Artistic Distinction</w:t>
      </w:r>
    </w:p>
    <w:p w:rsidR="00000000" w:rsidDel="00000000" w:rsidP="00000000" w:rsidRDefault="00000000" w:rsidRPr="00000000" w14:paraId="0000002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French jurisprudence treats originality as a high artistic threshold by adopting a “monistic system”. Only photographs that reveal a perceptible creative or intellectual individuality qualify for protection; routine press or paparazzi images, however technically successful, are excluded.</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This standard positions authorship as an aesthetic privilege rather than a universal right, reminiscent of Sontag’s claim that the photograph oscillates between document and interpretation. </w:t>
      </w:r>
    </w:p>
    <w:p w:rsidR="00000000" w:rsidDel="00000000" w:rsidP="00000000" w:rsidRDefault="00000000" w:rsidRPr="00000000" w14:paraId="0000002E">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French system also preserves strong moral rights, granting the author enduring control over modification or parody. Cases involving Jeff Koons or </w:t>
      </w:r>
      <w:r w:rsidDel="00000000" w:rsidR="00000000" w:rsidRPr="00000000">
        <w:rPr>
          <w:rFonts w:ascii="Times New Roman" w:cs="Times New Roman" w:eastAsia="Times New Roman" w:hAnsi="Times New Roman"/>
          <w:i w:val="1"/>
          <w:sz w:val="20"/>
          <w:szCs w:val="20"/>
          <w:rtl w:val="0"/>
        </w:rPr>
        <w:t xml:space="preserve">Tintin </w:t>
      </w:r>
      <w:r w:rsidDel="00000000" w:rsidR="00000000" w:rsidRPr="00000000">
        <w:rPr>
          <w:rFonts w:ascii="Times New Roman" w:cs="Times New Roman" w:eastAsia="Times New Roman" w:hAnsi="Times New Roman"/>
          <w:sz w:val="20"/>
          <w:szCs w:val="20"/>
          <w:rtl w:val="0"/>
        </w:rPr>
        <w:t xml:space="preserve">parodies illustrate how derivative or humorous reinterpretations are rarely accepted outside narrow “parody exceptions.”</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The law thus privileges the author’s integrity over the public’s freedom to reframe or recontextualize. </w:t>
      </w:r>
    </w:p>
    <w:p w:rsidR="00000000" w:rsidDel="00000000" w:rsidP="00000000" w:rsidRDefault="00000000" w:rsidRPr="00000000" w14:paraId="0000002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reflects Jaszi’s critique of the Romantic author: the French system sustains the myth of singular genius by confining protection to works of visible individuality. In contrast, Korea’s approach appears more democratic—recognizing authorship wherever human decision interrupts mechanical process. </w:t>
      </w:r>
    </w:p>
    <w:p w:rsidR="00000000" w:rsidDel="00000000" w:rsidP="00000000" w:rsidRDefault="00000000" w:rsidRPr="00000000" w14:paraId="00000030">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Germany: Graded Authorship and World-Disclosure</w:t>
      </w:r>
    </w:p>
    <w:p w:rsidR="00000000" w:rsidDel="00000000" w:rsidP="00000000" w:rsidRDefault="00000000" w:rsidRPr="00000000" w14:paraId="0000003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Germany maintains a dual system of protection, distinguishing between Lichbildwerke (creative photographic works) and Lichtbilder (simple photographs). Only the former, displaying sufficient originality, receive full copyright protection; the Federal Court of Justice (BGH) has consistently held that mechanical reproduction alone cannot ground authorship—some degree of </w:t>
      </w:r>
      <w:r w:rsidDel="00000000" w:rsidR="00000000" w:rsidRPr="00000000">
        <w:rPr>
          <w:rFonts w:ascii="Times New Roman" w:cs="Times New Roman" w:eastAsia="Times New Roman" w:hAnsi="Times New Roman"/>
          <w:i w:val="1"/>
          <w:sz w:val="20"/>
          <w:szCs w:val="20"/>
          <w:rtl w:val="0"/>
        </w:rPr>
        <w:t xml:space="preserve">personal mental performance </w:t>
      </w:r>
      <w:r w:rsidDel="00000000" w:rsidR="00000000" w:rsidRPr="00000000">
        <w:rPr>
          <w:rFonts w:ascii="Times New Roman" w:cs="Times New Roman" w:eastAsia="Times New Roman" w:hAnsi="Times New Roman"/>
          <w:sz w:val="20"/>
          <w:szCs w:val="20"/>
          <w:rtl w:val="0"/>
        </w:rPr>
        <w:t xml:space="preserve">must be evident.</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2">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structure provides a legal articulation of Heidegger’s aesthetic philosophy. In his terms, a</w:t>
      </w:r>
      <w:r w:rsidDel="00000000" w:rsidR="00000000" w:rsidRPr="00000000">
        <w:rPr>
          <w:rFonts w:ascii="Times New Roman" w:cs="Times New Roman" w:eastAsia="Times New Roman" w:hAnsi="Times New Roman"/>
          <w:i w:val="1"/>
          <w:sz w:val="20"/>
          <w:szCs w:val="20"/>
          <w:rtl w:val="0"/>
        </w:rPr>
        <w:t xml:space="preserve"> Lichtbildwerk </w:t>
      </w:r>
      <w:r w:rsidDel="00000000" w:rsidR="00000000" w:rsidRPr="00000000">
        <w:rPr>
          <w:rFonts w:ascii="Times New Roman" w:cs="Times New Roman" w:eastAsia="Times New Roman" w:hAnsi="Times New Roman"/>
          <w:sz w:val="20"/>
          <w:szCs w:val="20"/>
          <w:rtl w:val="0"/>
        </w:rPr>
        <w:t xml:space="preserve">participates in the </w:t>
      </w:r>
      <w:r w:rsidDel="00000000" w:rsidR="00000000" w:rsidRPr="00000000">
        <w:rPr>
          <w:rFonts w:ascii="Times New Roman" w:cs="Times New Roman" w:eastAsia="Times New Roman" w:hAnsi="Times New Roman"/>
          <w:i w:val="1"/>
          <w:sz w:val="20"/>
          <w:szCs w:val="20"/>
          <w:rtl w:val="0"/>
        </w:rPr>
        <w:t xml:space="preserve">disclosure of the world—</w:t>
      </w:r>
      <w:r w:rsidDel="00000000" w:rsidR="00000000" w:rsidRPr="00000000">
        <w:rPr>
          <w:rFonts w:ascii="Times New Roman" w:cs="Times New Roman" w:eastAsia="Times New Roman" w:hAnsi="Times New Roman"/>
          <w:sz w:val="20"/>
          <w:szCs w:val="20"/>
          <w:rtl w:val="0"/>
        </w:rPr>
        <w:t xml:space="preserve">it transforms the visible through interpretive engagement—while a </w:t>
      </w:r>
      <w:r w:rsidDel="00000000" w:rsidR="00000000" w:rsidRPr="00000000">
        <w:rPr>
          <w:rFonts w:ascii="Times New Roman" w:cs="Times New Roman" w:eastAsia="Times New Roman" w:hAnsi="Times New Roman"/>
          <w:i w:val="1"/>
          <w:sz w:val="20"/>
          <w:szCs w:val="20"/>
          <w:rtl w:val="0"/>
        </w:rPr>
        <w:t xml:space="preserve">Lichtbild </w:t>
      </w:r>
      <w:r w:rsidDel="00000000" w:rsidR="00000000" w:rsidRPr="00000000">
        <w:rPr>
          <w:rFonts w:ascii="Times New Roman" w:cs="Times New Roman" w:eastAsia="Times New Roman" w:hAnsi="Times New Roman"/>
          <w:sz w:val="20"/>
          <w:szCs w:val="20"/>
          <w:rtl w:val="0"/>
        </w:rPr>
        <w:t xml:space="preserve">merely reproduces the earth as it appears. German law thus formalizes the continuum between revelation and replication, acknowledging that photography’s value depends on the depth of human mediation. </w:t>
      </w:r>
    </w:p>
    <w:p w:rsidR="00000000" w:rsidDel="00000000" w:rsidP="00000000" w:rsidRDefault="00000000" w:rsidRPr="00000000" w14:paraId="0000003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Digital Single Market Directive later confirmed that high-fidelity reproductions of public-domain works cannot claim new protection, further embedding the rejection of pure replication as authorship.</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Compared to Korea’s single-tier approach, Germany’s graded system calibrates protection to the intensity of creative input, balancing the mechanical and the interpretive rather than collapsing them into one legal category. </w:t>
      </w:r>
    </w:p>
    <w:p w:rsidR="00000000" w:rsidDel="00000000" w:rsidP="00000000" w:rsidRDefault="00000000" w:rsidRPr="00000000" w14:paraId="0000003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Across these systems, a common principle persists: authorship begins where mechanical recording ends. Yet, each jurisdiction constructs this boundary differently. The UK/EU model defines originality as intellectual freedom—the deliberate shaping of perception. France frames it as an aesthetic distinction, preserving the aura of artistic individuality. Germany formalizes it as a hierarchy, distinguishing between mechanical performance and interpretive world-disclosure. Korea, by contrast, applies a single inclusive threshold, recognizing even minimal creative agency as sufficient for authorship. These variations reveal more than doctrinal differences; they expose distinct cultural understanding of creativity itself. European law seeks to preserve the </w:t>
      </w:r>
      <w:r w:rsidDel="00000000" w:rsidR="00000000" w:rsidRPr="00000000">
        <w:rPr>
          <w:rFonts w:ascii="Times New Roman" w:cs="Times New Roman" w:eastAsia="Times New Roman" w:hAnsi="Times New Roman"/>
          <w:i w:val="1"/>
          <w:sz w:val="20"/>
          <w:szCs w:val="20"/>
          <w:rtl w:val="0"/>
        </w:rPr>
        <w:t xml:space="preserve">aura </w:t>
      </w:r>
      <w:r w:rsidDel="00000000" w:rsidR="00000000" w:rsidRPr="00000000">
        <w:rPr>
          <w:rFonts w:ascii="Times New Roman" w:cs="Times New Roman" w:eastAsia="Times New Roman" w:hAnsi="Times New Roman"/>
          <w:sz w:val="20"/>
          <w:szCs w:val="20"/>
          <w:rtl w:val="0"/>
        </w:rPr>
        <w:t xml:space="preserve">of the author, elevating creation above reproduction, while Korean law democratizes it—acknowledging the creative presence in even routine acts of seeing. Both, however, serve the same institutional function: to manage the unresolved contradiction at the heart of photography—between the camera’s mechanical capture and the human impulse to create meaning. Additionally, these comparisons indicate that different societies define photographic copyright, revealing that the meaning of authorship and copyright is socially constructed based and depending on respective countries’ perspectives on creativity and authorship.</w:t>
      </w:r>
    </w:p>
    <w:p w:rsidR="00000000" w:rsidDel="00000000" w:rsidP="00000000" w:rsidRDefault="00000000" w:rsidRPr="00000000" w14:paraId="00000035">
      <w:pPr>
        <w:pStyle w:val="Heading2"/>
        <w:spacing w:line="240" w:lineRule="auto"/>
        <w:rPr>
          <w:i w:val="0"/>
        </w:rPr>
      </w:pPr>
      <w:bookmarkStart w:colFirst="0" w:colLast="0" w:name="_slyka9qirtnc" w:id="10"/>
      <w:bookmarkEnd w:id="10"/>
      <w:r w:rsidDel="00000000" w:rsidR="00000000" w:rsidRPr="00000000">
        <w:rPr>
          <w:i w:val="0"/>
          <w:rtl w:val="0"/>
        </w:rPr>
        <w:t xml:space="preserve">Social and Political Implications</w:t>
      </w:r>
    </w:p>
    <w:p w:rsidR="00000000" w:rsidDel="00000000" w:rsidP="00000000" w:rsidRDefault="00000000" w:rsidRPr="00000000" w14:paraId="0000003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philosophical and doctrinal tensions within Korean photographic copyright law produce tangible social effects. Far from operating as neutral regulation, copyright actively constructs photography’s public meaning—shaping how images create, acquire authority, and contribute to collective imagination. Three interrelated dynamics reveal this institutional power: photography’s deployment as national cultural infrastructure, the conditional nature of authorship under public-interest mandates, and the persistent absence of debate surrounding near-identical photographs. </w:t>
      </w:r>
    </w:p>
    <w:p w:rsidR="00000000" w:rsidDel="00000000" w:rsidP="00000000" w:rsidRDefault="00000000" w:rsidRPr="00000000" w14:paraId="00000037">
      <w:pPr>
        <w:pStyle w:val="Heading3"/>
        <w:spacing w:line="240" w:lineRule="auto"/>
        <w:rPr>
          <w:rFonts w:ascii="Times New Roman" w:cs="Times New Roman" w:eastAsia="Times New Roman" w:hAnsi="Times New Roman"/>
          <w:color w:val="000000"/>
          <w:sz w:val="24"/>
          <w:szCs w:val="24"/>
        </w:rPr>
      </w:pPr>
      <w:bookmarkStart w:colFirst="0" w:colLast="0" w:name="_40x8vp9f1057" w:id="11"/>
      <w:bookmarkEnd w:id="11"/>
      <w:r w:rsidDel="00000000" w:rsidR="00000000" w:rsidRPr="00000000">
        <w:rPr>
          <w:rFonts w:ascii="Times New Roman" w:cs="Times New Roman" w:eastAsia="Times New Roman" w:hAnsi="Times New Roman"/>
          <w:color w:val="000000"/>
          <w:sz w:val="24"/>
          <w:szCs w:val="24"/>
          <w:rtl w:val="0"/>
        </w:rPr>
        <w:t xml:space="preserve">Photography as National Cultural Infrastructure</w:t>
      </w:r>
    </w:p>
    <w:p w:rsidR="00000000" w:rsidDel="00000000" w:rsidP="00000000" w:rsidRDefault="00000000" w:rsidRPr="00000000" w14:paraId="00000038">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Korean copyright law’s recognition of photographs as “</w:t>
      </w:r>
      <w:r w:rsidDel="00000000" w:rsidR="00000000" w:rsidRPr="00000000">
        <w:rPr>
          <w:rFonts w:ascii="Times New Roman" w:cs="Times New Roman" w:eastAsia="Times New Roman" w:hAnsi="Times New Roman"/>
          <w:i w:val="1"/>
          <w:sz w:val="20"/>
          <w:szCs w:val="20"/>
          <w:rtl w:val="0"/>
        </w:rPr>
        <w:t xml:space="preserve">creative expressions of human ideas and emotions” </w:t>
      </w:r>
      <w:r w:rsidDel="00000000" w:rsidR="00000000" w:rsidRPr="00000000">
        <w:rPr>
          <w:rFonts w:ascii="Times New Roman" w:cs="Times New Roman" w:eastAsia="Times New Roman" w:hAnsi="Times New Roman"/>
          <w:sz w:val="20"/>
          <w:szCs w:val="20"/>
          <w:rtl w:val="0"/>
        </w:rPr>
        <w:t xml:space="preserve">transforms the medium from a mechanical reproduction into a form of national cultural capital. In doing so, it elevates photography to be the level of authored art, granting it an institutional role in shaping collective identity. Following Benedict Anderson’s concept of </w:t>
      </w:r>
      <w:r w:rsidDel="00000000" w:rsidR="00000000" w:rsidRPr="00000000">
        <w:rPr>
          <w:rFonts w:ascii="Times New Roman" w:cs="Times New Roman" w:eastAsia="Times New Roman" w:hAnsi="Times New Roman"/>
          <w:i w:val="1"/>
          <w:sz w:val="20"/>
          <w:szCs w:val="20"/>
          <w:rtl w:val="0"/>
        </w:rPr>
        <w:t xml:space="preserve">imagined communities, </w:t>
      </w:r>
      <w:r w:rsidDel="00000000" w:rsidR="00000000" w:rsidRPr="00000000">
        <w:rPr>
          <w:rFonts w:ascii="Times New Roman" w:cs="Times New Roman" w:eastAsia="Times New Roman" w:hAnsi="Times New Roman"/>
          <w:sz w:val="20"/>
          <w:szCs w:val="20"/>
          <w:rtl w:val="0"/>
        </w:rPr>
        <w:t xml:space="preserve">photography in Korea functions as a mechanism of nation-building: it materializes shared memory and belonging through curated visual narratives.</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Institutions such as PhotoSeMA and the Museum of Photography Seoul embody this transformation. Their exhibitions consolidate photography’s dual identity—as aesthetic expression and as an instrument of cultural self-definition. In Heideggerian terms, these museums engage in </w:t>
      </w:r>
      <w:r w:rsidDel="00000000" w:rsidR="00000000" w:rsidRPr="00000000">
        <w:rPr>
          <w:rFonts w:ascii="Times New Roman" w:cs="Times New Roman" w:eastAsia="Times New Roman" w:hAnsi="Times New Roman"/>
          <w:i w:val="1"/>
          <w:sz w:val="20"/>
          <w:szCs w:val="20"/>
          <w:rtl w:val="0"/>
        </w:rPr>
        <w:t xml:space="preserve">world-disclosure </w:t>
      </w:r>
      <w:r w:rsidDel="00000000" w:rsidR="00000000" w:rsidRPr="00000000">
        <w:rPr>
          <w:rFonts w:ascii="Times New Roman" w:cs="Times New Roman" w:eastAsia="Times New Roman" w:hAnsi="Times New Roman"/>
          <w:sz w:val="20"/>
          <w:szCs w:val="20"/>
          <w:rtl w:val="0"/>
        </w:rPr>
        <w:t xml:space="preserve">on a collective scale: the photograph no longer merely reveals a private world but discloses a communal one. Similarly, Arendt’s notion of the </w:t>
      </w:r>
      <w:r w:rsidDel="00000000" w:rsidR="00000000" w:rsidRPr="00000000">
        <w:rPr>
          <w:rFonts w:ascii="Times New Roman" w:cs="Times New Roman" w:eastAsia="Times New Roman" w:hAnsi="Times New Roman"/>
          <w:i w:val="1"/>
          <w:sz w:val="20"/>
          <w:szCs w:val="20"/>
          <w:rtl w:val="0"/>
        </w:rPr>
        <w:t xml:space="preserve">public realm </w:t>
      </w:r>
      <w:r w:rsidDel="00000000" w:rsidR="00000000" w:rsidRPr="00000000">
        <w:rPr>
          <w:rFonts w:ascii="Times New Roman" w:cs="Times New Roman" w:eastAsia="Times New Roman" w:hAnsi="Times New Roman"/>
          <w:sz w:val="20"/>
          <w:szCs w:val="20"/>
          <w:rtl w:val="0"/>
        </w:rPr>
        <w:t xml:space="preserve">illuminates how photographs, once individual artifacts, become shared objects of interpretation that sustain plurality and civic imagination. Through this institutional mediation, photography in Korea emerges not simply as documentation of national life but as an active agent in constructing it. </w:t>
      </w:r>
    </w:p>
    <w:p w:rsidR="00000000" w:rsidDel="00000000" w:rsidP="00000000" w:rsidRDefault="00000000" w:rsidRPr="00000000" w14:paraId="0000003A">
      <w:pPr>
        <w:pStyle w:val="Heading2"/>
        <w:spacing w:line="240" w:lineRule="auto"/>
        <w:rPr>
          <w:i w:val="0"/>
        </w:rPr>
      </w:pPr>
      <w:bookmarkStart w:colFirst="0" w:colLast="0" w:name="_vg73eueq85b3" w:id="12"/>
      <w:bookmarkEnd w:id="12"/>
      <w:r w:rsidDel="00000000" w:rsidR="00000000" w:rsidRPr="00000000">
        <w:rPr>
          <w:i w:val="0"/>
          <w:rtl w:val="0"/>
        </w:rPr>
        <w:t xml:space="preserve">Public Interest and Individual Rights</w:t>
      </w:r>
    </w:p>
    <w:p w:rsidR="00000000" w:rsidDel="00000000" w:rsidP="00000000" w:rsidRDefault="00000000" w:rsidRPr="00000000" w14:paraId="0000003B">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Seoul High Court decision </w:t>
      </w:r>
      <w:r w:rsidDel="00000000" w:rsidR="00000000" w:rsidRPr="00000000">
        <w:rPr>
          <w:rFonts w:ascii="Times New Roman" w:cs="Times New Roman" w:eastAsia="Times New Roman" w:hAnsi="Times New Roman"/>
          <w:sz w:val="20"/>
          <w:szCs w:val="20"/>
          <w:rtl w:val="0"/>
        </w:rPr>
        <w:t xml:space="preserve">demonstrates the legal and ethical friction between creative autonomy and collective necessity. The court held that educational and public interests may justify modifications to authored works, even without the author’s consent.</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In this view, photography, like the textbook in question, functions as part of the social infrastructure rather than as a purely private creation. Authorship is recognized, but subordinated to broader civic and pedagogical terms.   </w:t>
      </w:r>
    </w:p>
    <w:p w:rsidR="00000000" w:rsidDel="00000000" w:rsidP="00000000" w:rsidRDefault="00000000" w:rsidRPr="00000000" w14:paraId="0000003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reasoning parallels Butler’s conception of the frame as a site of normative power: institutions regulate not only what is seen but how it is seen, defining the visual boundaries of the public sphere. The law thereby legitimizes certain forms of visibility while suppressing others, shaping collective understanding through visual governance. Simultaneously, Sontag’s critique of photography’s ethical limits supports this institutional intervention: not all images, she suggests, deserve unfiltered circulation. By privileging works that bear the trace of deliberate authorship over those that merely replicate the real, the legal system enforces a hierarchy of visibility grounded in moral and political discretion. </w:t>
      </w:r>
    </w:p>
    <w:p w:rsidR="00000000" w:rsidDel="00000000" w:rsidP="00000000" w:rsidRDefault="00000000" w:rsidRPr="00000000" w14:paraId="0000003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Thus, the court’s reasoning implies that creativity itself is </w:t>
      </w:r>
      <w:r w:rsidDel="00000000" w:rsidR="00000000" w:rsidRPr="00000000">
        <w:rPr>
          <w:rFonts w:ascii="Times New Roman" w:cs="Times New Roman" w:eastAsia="Times New Roman" w:hAnsi="Times New Roman"/>
          <w:i w:val="1"/>
          <w:sz w:val="20"/>
          <w:szCs w:val="20"/>
          <w:rtl w:val="0"/>
        </w:rPr>
        <w:t xml:space="preserve">contextual</w:t>
      </w:r>
      <w:r w:rsidDel="00000000" w:rsidR="00000000" w:rsidRPr="00000000">
        <w:rPr>
          <w:rFonts w:ascii="Times New Roman" w:cs="Times New Roman" w:eastAsia="Times New Roman" w:hAnsi="Times New Roman"/>
          <w:sz w:val="20"/>
          <w:szCs w:val="20"/>
          <w:rtl w:val="0"/>
        </w:rPr>
        <w:t xml:space="preserve">—its value conditioned by public function. Photographs acquire meaning not only through the author’s act but also through the state’s interpretive framing, revealing the inescapably social dimension of authorship. </w:t>
      </w:r>
    </w:p>
    <w:p w:rsidR="00000000" w:rsidDel="00000000" w:rsidP="00000000" w:rsidRDefault="00000000" w:rsidRPr="00000000" w14:paraId="0000003E">
      <w:pPr>
        <w:pStyle w:val="Heading2"/>
        <w:spacing w:line="240" w:lineRule="auto"/>
        <w:rPr>
          <w:i w:val="0"/>
        </w:rPr>
      </w:pPr>
      <w:bookmarkStart w:colFirst="0" w:colLast="0" w:name="_r7oo6sawag9h" w:id="13"/>
      <w:bookmarkEnd w:id="13"/>
      <w:r w:rsidDel="00000000" w:rsidR="00000000" w:rsidRPr="00000000">
        <w:rPr>
          <w:i w:val="0"/>
          <w:rtl w:val="0"/>
        </w:rPr>
        <w:t xml:space="preserve">The Absent Debate: Near-Identical Photographs</w:t>
      </w:r>
    </w:p>
    <w:p w:rsidR="00000000" w:rsidDel="00000000" w:rsidP="00000000" w:rsidRDefault="00000000" w:rsidRPr="00000000" w14:paraId="0000003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this sophisticated balance between private and public interests, Korean law remains largely silent on cases where multiple photographers independently capture the same moment. In practice, the doctrine allows each to claim originality under the low threshold of </w:t>
      </w:r>
      <w:r w:rsidDel="00000000" w:rsidR="00000000" w:rsidRPr="00000000">
        <w:rPr>
          <w:rFonts w:ascii="Times New Roman" w:cs="Times New Roman" w:eastAsia="Times New Roman" w:hAnsi="Times New Roman"/>
          <w:i w:val="1"/>
          <w:sz w:val="20"/>
          <w:szCs w:val="20"/>
          <w:rtl w:val="0"/>
        </w:rPr>
        <w:t xml:space="preserve">individual </w:t>
      </w:r>
      <w:r w:rsidDel="00000000" w:rsidR="00000000" w:rsidRPr="00000000">
        <w:rPr>
          <w:rFonts w:ascii="Times New Roman" w:cs="Times New Roman" w:eastAsia="Times New Roman" w:hAnsi="Times New Roman"/>
          <w:sz w:val="20"/>
          <w:szCs w:val="20"/>
          <w:rtl w:val="0"/>
        </w:rPr>
        <w:t xml:space="preserve">expression, resulting in overlapping rights and diminished exclusivity. Unlike U.S. or EU systems, which mitigate such conflicts through “thin copyright” or substantial similarity tests, Korean jurisprudence preserves a Romantic notion of authorship that resists such nuance. In this sense, the Romantic notion is the least developed version of authorship that is subject to modification depending on society’s needs. Whereas the U.S, the UK, France, and Germany have developed respective legal interpretations and standards regarding photography, South Korea rests on the Romantic notion, reflecting that the discussion about photographic copyrights’ legal standard has not yet fully begun. Thus, it fails to encapsulate the relational nature of photography in protecting artists’ works by the law, invoking the need to discuss legal application of the fundamentals of photography in Korean copyright law. </w:t>
      </w:r>
    </w:p>
    <w:p w:rsidR="00000000" w:rsidDel="00000000" w:rsidP="00000000" w:rsidRDefault="00000000" w:rsidRPr="00000000" w14:paraId="00000040">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absence exposes the limits of grounding photographic meaning solely in individual agency. Sontag reminds us that photographs derive significance from the subject they depict rather than from who captures them; Heidegger suggests that the event itself—what he might call the </w:t>
      </w:r>
      <w:r w:rsidDel="00000000" w:rsidR="00000000" w:rsidRPr="00000000">
        <w:rPr>
          <w:rFonts w:ascii="Times New Roman" w:cs="Times New Roman" w:eastAsia="Times New Roman" w:hAnsi="Times New Roman"/>
          <w:i w:val="1"/>
          <w:sz w:val="20"/>
          <w:szCs w:val="20"/>
          <w:rtl w:val="0"/>
        </w:rPr>
        <w:t xml:space="preserve">happening of world-disclosure—</w:t>
      </w:r>
      <w:r w:rsidDel="00000000" w:rsidR="00000000" w:rsidRPr="00000000">
        <w:rPr>
          <w:rFonts w:ascii="Times New Roman" w:cs="Times New Roman" w:eastAsia="Times New Roman" w:hAnsi="Times New Roman"/>
          <w:sz w:val="20"/>
          <w:szCs w:val="20"/>
          <w:rtl w:val="0"/>
        </w:rPr>
        <w:t xml:space="preserve">can transcend any single Dasein’s authorship; Butler emphasizes that institutional framing often determines an image’s social interpretation; and Arendt situates meaning in the plurality of perspectives that encounter it. </w:t>
      </w:r>
    </w:p>
    <w:p w:rsidR="00000000" w:rsidDel="00000000" w:rsidP="00000000" w:rsidRDefault="00000000" w:rsidRPr="00000000" w14:paraId="0000004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 is a proliferation of parallel rights that dilute both ownership and meaning. Each photograph may be legally distinct, yet all share dependence on a common reality that no single author can monopolize. This tension underscores the broader cultural role of copyright: not as a resolution to photography’s contradictions, but as a mechanism for negotiating them—between the mechanical and the creative, the individual and the collective, the visible and the interpreted. </w:t>
      </w:r>
    </w:p>
    <w:p w:rsidR="00000000" w:rsidDel="00000000" w:rsidP="00000000" w:rsidRDefault="00000000" w:rsidRPr="00000000" w14:paraId="00000042">
      <w:pPr>
        <w:pStyle w:val="Heading1"/>
        <w:spacing w:line="240" w:lineRule="auto"/>
        <w:rPr/>
      </w:pPr>
      <w:bookmarkStart w:colFirst="0" w:colLast="0" w:name="_aqw8tigv62bp" w:id="14"/>
      <w:bookmarkEnd w:id="14"/>
      <w:r w:rsidDel="00000000" w:rsidR="00000000" w:rsidRPr="00000000">
        <w:rPr>
          <w:rtl w:val="0"/>
        </w:rPr>
        <w:t xml:space="preserve">Conclusion</w:t>
      </w:r>
    </w:p>
    <w:p w:rsidR="00000000" w:rsidDel="00000000" w:rsidP="00000000" w:rsidRDefault="00000000" w:rsidRPr="00000000" w14:paraId="0000004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All in all,  photographic authorship is best understood as a relational act rather than the product of solitary genius. While Korean copyright law extends protection to photographic works under a minimal originality threshold, this Romantic model of authorship generates doctrinal incoherence: it allows near-identical images to claim independent originality, resulting in overlapping rights without meaningful distinctions. Ensuing discussions about the absence suggests that discourse surrounding photography and copyrights has been less prolific compared to western legal traditions. This paper proposes a jurisprudence that evaluates near-identical images through authorship as intentional world-disclosure and collective meaning-making, shifting protection from technical novelty but from the interplay of framing, communicative intent, and public interpretation. </w:t>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end, copyright cannot erase the paradox between mechanical reproduction and creative authorship; it can only negotiate it. By acknowledging authorship as relational, Korean law has the opportunity not merely to catch up with European or American doctrines but to pioneer a model that balances reproducibility with meaning. In this way, copyright becomes less a device for eliminating contradictions and more a forum for allowing photography’s human significance to emerge. </w:t>
      </w:r>
    </w:p>
    <w:p w:rsidR="00000000" w:rsidDel="00000000" w:rsidP="00000000" w:rsidRDefault="00000000" w:rsidRPr="00000000" w14:paraId="00000045">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ind w:firstLine="72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spacing w:line="240" w:lineRule="auto"/>
        <w:jc w:val="center"/>
        <w:rPr>
          <w:rFonts w:ascii="Times New Roman" w:cs="Times New Roman" w:eastAsia="Times New Roman" w:hAnsi="Times New Roman"/>
          <w:sz w:val="20"/>
          <w:szCs w:val="20"/>
        </w:rPr>
      </w:pPr>
      <w:bookmarkStart w:colFirst="0" w:colLast="0" w:name="_em5m765atwzs" w:id="15"/>
      <w:bookmarkEnd w:id="15"/>
      <w:r w:rsidDel="00000000" w:rsidR="00000000" w:rsidRPr="00000000">
        <w:rPr>
          <w:rtl w:val="0"/>
        </w:rPr>
        <w:t xml:space="preserve">Annotated Bibliography </w:t>
      </w:r>
      <w:r w:rsidDel="00000000" w:rsidR="00000000" w:rsidRPr="00000000">
        <w:rPr>
          <w:rtl w:val="0"/>
        </w:rPr>
      </w:r>
    </w:p>
    <w:p w:rsidR="00000000" w:rsidDel="00000000" w:rsidP="00000000" w:rsidRDefault="00000000" w:rsidRPr="00000000" w14:paraId="00000048">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Anderson, Benedict. </w:t>
      </w:r>
      <w:r w:rsidDel="00000000" w:rsidR="00000000" w:rsidRPr="00000000">
        <w:rPr>
          <w:rFonts w:ascii="Times New Roman" w:cs="Times New Roman" w:eastAsia="Times New Roman" w:hAnsi="Times New Roman"/>
          <w:i w:val="1"/>
          <w:sz w:val="20"/>
          <w:szCs w:val="20"/>
          <w:rtl w:val="0"/>
        </w:rPr>
        <w:t xml:space="preserve">Imagined Communities: Reflections on the Origin and Spread of  Nationalism</w:t>
      </w:r>
      <w:r w:rsidDel="00000000" w:rsidR="00000000" w:rsidRPr="00000000">
        <w:rPr>
          <w:rFonts w:ascii="Times New Roman" w:cs="Times New Roman" w:eastAsia="Times New Roman" w:hAnsi="Times New Roman"/>
          <w:sz w:val="20"/>
          <w:szCs w:val="20"/>
          <w:rtl w:val="0"/>
        </w:rPr>
        <w:t xml:space="preserve">. Revised., 2006. https://nationalismstudies.org/wp-content/uploads/2021/03/Imagined-Communities-Reflections-on-the-Origin-and-Spread-of-Nationalism-by-Benedict-Anderson-z-lib.org_.pdf.</w:t>
      </w:r>
    </w:p>
    <w:p w:rsidR="00000000" w:rsidDel="00000000" w:rsidP="00000000" w:rsidRDefault="00000000" w:rsidRPr="00000000" w14:paraId="00000049">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Arisi, Marta. “Reproductions of Visual Art Works in the Public Domain: The Art. 14 of the Digital Single Market Copyright Directive and the Transposition in Italy.” </w:t>
      </w:r>
      <w:r w:rsidDel="00000000" w:rsidR="00000000" w:rsidRPr="00000000">
        <w:rPr>
          <w:rFonts w:ascii="Times New Roman" w:cs="Times New Roman" w:eastAsia="Times New Roman" w:hAnsi="Times New Roman"/>
          <w:i w:val="1"/>
          <w:sz w:val="20"/>
          <w:szCs w:val="20"/>
          <w:rtl w:val="0"/>
        </w:rPr>
        <w:t xml:space="preserve">Aedon</w:t>
      </w:r>
      <w:r w:rsidDel="00000000" w:rsidR="00000000" w:rsidRPr="00000000">
        <w:rPr>
          <w:rFonts w:ascii="Times New Roman" w:cs="Times New Roman" w:eastAsia="Times New Roman" w:hAnsi="Times New Roman"/>
          <w:sz w:val="20"/>
          <w:szCs w:val="20"/>
          <w:rtl w:val="0"/>
        </w:rPr>
        <w:t xml:space="preserve">, no. 1 (January 1, 2021): 0. </w:t>
      </w:r>
      <w:hyperlink r:id="rId7">
        <w:r w:rsidDel="00000000" w:rsidR="00000000" w:rsidRPr="00000000">
          <w:rPr>
            <w:rFonts w:ascii="Times New Roman" w:cs="Times New Roman" w:eastAsia="Times New Roman" w:hAnsi="Times New Roman"/>
            <w:color w:val="1155cc"/>
            <w:sz w:val="20"/>
            <w:szCs w:val="20"/>
            <w:u w:val="single"/>
            <w:rtl w:val="0"/>
          </w:rPr>
          <w:t xml:space="preserve">https://doi.org/10.7390/100562</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A">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Bierhanzl, Jan. “The Disobedience of Seeing.” </w:t>
      </w:r>
      <w:r w:rsidDel="00000000" w:rsidR="00000000" w:rsidRPr="00000000">
        <w:rPr>
          <w:rFonts w:ascii="Times New Roman" w:cs="Times New Roman" w:eastAsia="Times New Roman" w:hAnsi="Times New Roman"/>
          <w:i w:val="1"/>
          <w:sz w:val="20"/>
          <w:szCs w:val="20"/>
          <w:rtl w:val="0"/>
        </w:rPr>
        <w:t xml:space="preserve">Aesthetic Investigations</w:t>
      </w:r>
      <w:r w:rsidDel="00000000" w:rsidR="00000000" w:rsidRPr="00000000">
        <w:rPr>
          <w:rFonts w:ascii="Times New Roman" w:cs="Times New Roman" w:eastAsia="Times New Roman" w:hAnsi="Times New Roman"/>
          <w:sz w:val="20"/>
          <w:szCs w:val="20"/>
          <w:rtl w:val="0"/>
        </w:rPr>
        <w:t xml:space="preserve"> 5, no. 2 (January 31, 2023): 116–28. </w:t>
      </w:r>
      <w:hyperlink r:id="rId8">
        <w:r w:rsidDel="00000000" w:rsidR="00000000" w:rsidRPr="00000000">
          <w:rPr>
            <w:rFonts w:ascii="Times New Roman" w:cs="Times New Roman" w:eastAsia="Times New Roman" w:hAnsi="Times New Roman"/>
            <w:sz w:val="20"/>
            <w:szCs w:val="20"/>
            <w:u w:val="single"/>
            <w:rtl w:val="0"/>
          </w:rPr>
          <w:t xml:space="preserve">https://doi.org/10.58519/aesthinv.v5i2.12980</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B">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Bird &amp; Bird. “EU Aims to Be a Global Norm-setter Regarding IP,” n.d. </w:t>
      </w:r>
      <w:hyperlink r:id="rId9">
        <w:r w:rsidDel="00000000" w:rsidR="00000000" w:rsidRPr="00000000">
          <w:rPr>
            <w:rFonts w:ascii="Times New Roman" w:cs="Times New Roman" w:eastAsia="Times New Roman" w:hAnsi="Times New Roman"/>
            <w:color w:val="1155cc"/>
            <w:sz w:val="20"/>
            <w:szCs w:val="20"/>
            <w:u w:val="single"/>
            <w:rtl w:val="0"/>
          </w:rPr>
          <w:t xml:space="preserve">https://www.twobirds.com/en/insights/2020/global/eu-aims-to-be-a-global-norm-setter-regarding-ip</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C">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Buccafusco, Christopher. “A Theory of Copyright Authorship.” Virginia Law Review 102 (2016): 1229-1205 </w:t>
      </w:r>
      <w:hyperlink r:id="rId10">
        <w:r w:rsidDel="00000000" w:rsidR="00000000" w:rsidRPr="00000000">
          <w:rPr>
            <w:rFonts w:ascii="Times New Roman" w:cs="Times New Roman" w:eastAsia="Times New Roman" w:hAnsi="Times New Roman"/>
            <w:color w:val="1155cc"/>
            <w:sz w:val="20"/>
            <w:szCs w:val="20"/>
            <w:u w:val="single"/>
            <w:rtl w:val="0"/>
          </w:rPr>
          <w:t xml:space="preserve">https://papers.ssrn.com/sol3/papers.cfm?abstract_id=2664891#</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D">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Butler, Judith. “Photography, War, Outrage.” </w:t>
      </w:r>
      <w:r w:rsidDel="00000000" w:rsidR="00000000" w:rsidRPr="00000000">
        <w:rPr>
          <w:rFonts w:ascii="Times New Roman" w:cs="Times New Roman" w:eastAsia="Times New Roman" w:hAnsi="Times New Roman"/>
          <w:i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2005, 822. https://www.jstor.org/stable/25486216?seq=1.</w:t>
      </w:r>
    </w:p>
    <w:p w:rsidR="00000000" w:rsidDel="00000000" w:rsidP="00000000" w:rsidRDefault="00000000" w:rsidRPr="00000000" w14:paraId="0000004E">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Civil Imagination: A Political Ontology of Photography. “Civil Imagination: A Political Ontology of Photography,” April 11, 2013. </w:t>
      </w:r>
      <w:hyperlink r:id="rId11">
        <w:r w:rsidDel="00000000" w:rsidR="00000000" w:rsidRPr="00000000">
          <w:rPr>
            <w:rFonts w:ascii="Times New Roman" w:cs="Times New Roman" w:eastAsia="Times New Roman" w:hAnsi="Times New Roman"/>
            <w:color w:val="1155cc"/>
            <w:sz w:val="20"/>
            <w:szCs w:val="20"/>
            <w:u w:val="single"/>
            <w:rtl w:val="0"/>
          </w:rPr>
          <w:t xml:space="preserve">https://www.caareviews.org/reviews/2022</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F">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Elena, and Sheona Burrow. “Photographic Copyright and the Intellectual Property Enterprise Court in Historical Perspective.” </w:t>
      </w:r>
      <w:r w:rsidDel="00000000" w:rsidR="00000000" w:rsidRPr="00000000">
        <w:rPr>
          <w:rFonts w:ascii="Times New Roman" w:cs="Times New Roman" w:eastAsia="Times New Roman" w:hAnsi="Times New Roman"/>
          <w:i w:val="1"/>
          <w:sz w:val="20"/>
          <w:szCs w:val="20"/>
          <w:rtl w:val="0"/>
        </w:rPr>
        <w:t xml:space="preserve">CREATe</w:t>
      </w:r>
      <w:r w:rsidDel="00000000" w:rsidR="00000000" w:rsidRPr="00000000">
        <w:rPr>
          <w:rFonts w:ascii="Times New Roman" w:cs="Times New Roman" w:eastAsia="Times New Roman" w:hAnsi="Times New Roman"/>
          <w:sz w:val="20"/>
          <w:szCs w:val="20"/>
          <w:rtl w:val="0"/>
        </w:rPr>
        <w:t xml:space="preserve">, May 2018. </w:t>
      </w:r>
      <w:hyperlink r:id="rId12">
        <w:r w:rsidDel="00000000" w:rsidR="00000000" w:rsidRPr="00000000">
          <w:rPr>
            <w:rFonts w:ascii="Times New Roman" w:cs="Times New Roman" w:eastAsia="Times New Roman" w:hAnsi="Times New Roman"/>
            <w:color w:val="1155cc"/>
            <w:sz w:val="20"/>
            <w:szCs w:val="20"/>
            <w:u w:val="single"/>
            <w:rtl w:val="0"/>
          </w:rPr>
          <w:t xml:space="preserve">https://zenodo.org/record/1246559/files/CREATe-Working-Paper-1802.pdf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0">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“Copyright and Related Rights in the Digital Single Market | EUR-Lex,” June 6, 2019. </w:t>
      </w:r>
      <w:hyperlink r:id="rId13">
        <w:r w:rsidDel="00000000" w:rsidR="00000000" w:rsidRPr="00000000">
          <w:rPr>
            <w:rFonts w:ascii="Times New Roman" w:cs="Times New Roman" w:eastAsia="Times New Roman" w:hAnsi="Times New Roman"/>
            <w:color w:val="1155cc"/>
            <w:sz w:val="20"/>
            <w:szCs w:val="20"/>
            <w:u w:val="single"/>
            <w:rtl w:val="0"/>
          </w:rPr>
          <w:t xml:space="preserve">https://eur-lex.europa.eu/EN/legal-content/summary/copyright-and-related-rights-in-the-digital-single-market.html</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1">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Delamaire, Marie-Stéphanie, and Will Slauter. </w:t>
      </w:r>
      <w:r w:rsidDel="00000000" w:rsidR="00000000" w:rsidRPr="00000000">
        <w:rPr>
          <w:rFonts w:ascii="Times New Roman" w:cs="Times New Roman" w:eastAsia="Times New Roman" w:hAnsi="Times New Roman"/>
          <w:i w:val="1"/>
          <w:sz w:val="20"/>
          <w:szCs w:val="20"/>
          <w:rtl w:val="0"/>
        </w:rPr>
        <w:t xml:space="preserve">Circulation and Control: Artistic Culture and Intellectual Property in the Nineteenth Century</w:t>
      </w:r>
      <w:r w:rsidDel="00000000" w:rsidR="00000000" w:rsidRPr="00000000">
        <w:rPr>
          <w:rFonts w:ascii="Times New Roman" w:cs="Times New Roman" w:eastAsia="Times New Roman" w:hAnsi="Times New Roman"/>
          <w:sz w:val="20"/>
          <w:szCs w:val="20"/>
          <w:rtl w:val="0"/>
        </w:rPr>
        <w:t xml:space="preserve">. Vol. 402. OpenBook Publishers, 2021. </w:t>
      </w:r>
      <w:hyperlink r:id="rId14">
        <w:r w:rsidDel="00000000" w:rsidR="00000000" w:rsidRPr="00000000">
          <w:rPr>
            <w:rFonts w:ascii="Times New Roman" w:cs="Times New Roman" w:eastAsia="Times New Roman" w:hAnsi="Times New Roman"/>
            <w:color w:val="1155cc"/>
            <w:sz w:val="20"/>
            <w:szCs w:val="20"/>
            <w:u w:val="single"/>
            <w:rtl w:val="0"/>
          </w:rPr>
          <w:t xml:space="preserve">https://www.openbookpublishers.com/books/10.11647/obp.0247</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El-Auwad, Maya. “Lichtbild Vs. Lichtbildwerk – Wo Der Unterschied Liegt – iRights.info.” </w:t>
      </w:r>
    </w:p>
    <w:p w:rsidR="00000000" w:rsidDel="00000000" w:rsidP="00000000" w:rsidRDefault="00000000" w:rsidRPr="00000000" w14:paraId="00000053">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iRights.info, November 12, 2024. </w:t>
      </w:r>
      <w:hyperlink r:id="rId15">
        <w:r w:rsidDel="00000000" w:rsidR="00000000" w:rsidRPr="00000000">
          <w:rPr>
            <w:rFonts w:ascii="Times New Roman" w:cs="Times New Roman" w:eastAsia="Times New Roman" w:hAnsi="Times New Roman"/>
            <w:color w:val="1155cc"/>
            <w:sz w:val="20"/>
            <w:szCs w:val="20"/>
            <w:u w:val="single"/>
            <w:rtl w:val="0"/>
          </w:rPr>
          <w:t xml:space="preserve">https://irights.info/artikel/lichtbild-vs-lichtbildwerk-unterschied/31634</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European Union. Directive 2001/29/EC of the European Parliament and of the Council of 22 </w:t>
      </w:r>
    </w:p>
    <w:p w:rsidR="00000000" w:rsidDel="00000000" w:rsidP="00000000" w:rsidRDefault="00000000" w:rsidRPr="00000000" w14:paraId="00000055">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2001 on the Harmonisation of Certain Aspects of Copyright and Related Rights </w:t>
      </w:r>
    </w:p>
    <w:p w:rsidR="00000000" w:rsidDel="00000000" w:rsidP="00000000" w:rsidRDefault="00000000" w:rsidRPr="00000000" w14:paraId="00000056">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Information Society. EUR-Lex. Accessed October 30, 2025. </w:t>
      </w:r>
    </w:p>
    <w:p w:rsidR="00000000" w:rsidDel="00000000" w:rsidP="00000000" w:rsidRDefault="00000000" w:rsidRPr="00000000" w14:paraId="00000057">
      <w:pPr>
        <w:spacing w:line="240" w:lineRule="auto"/>
        <w:ind w:left="720" w:firstLine="0"/>
        <w:rPr>
          <w:rFonts w:ascii="Times New Roman" w:cs="Times New Roman" w:eastAsia="Times New Roman" w:hAnsi="Times New Roman"/>
          <w:sz w:val="20"/>
          <w:szCs w:val="20"/>
        </w:rPr>
      </w:pPr>
      <w:hyperlink r:id="rId16">
        <w:r w:rsidDel="00000000" w:rsidR="00000000" w:rsidRPr="00000000">
          <w:rPr>
            <w:rFonts w:ascii="Times New Roman" w:cs="Times New Roman" w:eastAsia="Times New Roman" w:hAnsi="Times New Roman"/>
            <w:color w:val="1155cc"/>
            <w:sz w:val="20"/>
            <w:szCs w:val="20"/>
            <w:u w:val="single"/>
            <w:rtl w:val="0"/>
          </w:rPr>
          <w:t xml:space="preserve">https://eur-lex.europa.eu/LexUriServ/LexUriServ.do?uri=CELEX:32001L0029:en:HTML</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8">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Fishman, Ethan M. “To Secure These Rights: The Supreme Court and Snyder V. Phelps,” 2011. </w:t>
      </w:r>
      <w:r w:rsidDel="00000000" w:rsidR="00000000" w:rsidRPr="00000000">
        <w:rPr>
          <w:rFonts w:ascii="Times New Roman" w:cs="Times New Roman" w:eastAsia="Times New Roman" w:hAnsi="Times New Roman"/>
          <w:sz w:val="20"/>
          <w:szCs w:val="20"/>
          <w:rtl w:val="0"/>
        </w:rPr>
        <w:t xml:space="preserve">https://www.semanticscholar.org/paper/To-Secure-These-Rights%3A-The-</w:t>
        <w:br w:type="textWrapping"/>
        <w:t xml:space="preserve">Supreme-Court-and-V.-Fishman/4e807dfb1319b54847ff0f3c1cf56495e1ad70ea</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Guthrie, Jason Lee. “Entered According to Act of Congress: Copyright and Photography in </w:t>
      </w:r>
    </w:p>
    <w:p w:rsidR="00000000" w:rsidDel="00000000" w:rsidP="00000000" w:rsidRDefault="00000000" w:rsidRPr="00000000" w14:paraId="0000005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19th Century America.” </w:t>
      </w:r>
      <w:r w:rsidDel="00000000" w:rsidR="00000000" w:rsidRPr="00000000">
        <w:rPr>
          <w:rFonts w:ascii="Times New Roman" w:cs="Times New Roman" w:eastAsia="Times New Roman" w:hAnsi="Times New Roman"/>
          <w:i w:val="1"/>
          <w:sz w:val="20"/>
          <w:szCs w:val="20"/>
          <w:rtl w:val="0"/>
        </w:rPr>
        <w:t xml:space="preserve">Military Images</w:t>
      </w:r>
      <w:r w:rsidDel="00000000" w:rsidR="00000000" w:rsidRPr="00000000">
        <w:rPr>
          <w:rFonts w:ascii="Times New Roman" w:cs="Times New Roman" w:eastAsia="Times New Roman" w:hAnsi="Times New Roman"/>
          <w:sz w:val="20"/>
          <w:szCs w:val="20"/>
          <w:rtl w:val="0"/>
        </w:rPr>
        <w:t xml:space="preserve"> 38, no. 1 (211) (2020): 72–75. </w:t>
      </w:r>
    </w:p>
    <w:p w:rsidR="00000000" w:rsidDel="00000000" w:rsidP="00000000" w:rsidRDefault="00000000" w:rsidRPr="00000000" w14:paraId="0000005B">
      <w:pPr>
        <w:spacing w:line="240" w:lineRule="auto"/>
        <w:ind w:firstLine="720"/>
        <w:rPr>
          <w:rFonts w:ascii="Times New Roman" w:cs="Times New Roman" w:eastAsia="Times New Roman" w:hAnsi="Times New Roman"/>
          <w:sz w:val="20"/>
          <w:szCs w:val="20"/>
        </w:rPr>
      </w:pPr>
      <w:hyperlink r:id="rId17">
        <w:r w:rsidDel="00000000" w:rsidR="00000000" w:rsidRPr="00000000">
          <w:rPr>
            <w:rFonts w:ascii="Times New Roman" w:cs="Times New Roman" w:eastAsia="Times New Roman" w:hAnsi="Times New Roman"/>
            <w:color w:val="1155cc"/>
            <w:sz w:val="20"/>
            <w:szCs w:val="20"/>
            <w:u w:val="single"/>
            <w:rtl w:val="0"/>
          </w:rPr>
          <w:t xml:space="preserve">https://www.jstor.org/stable/26811005</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C">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Heinrich, Falk, and Thomas Wolsing. “To Be a Work Means to Set up a World: Into the Woods With Heidegger.” </w:t>
      </w:r>
      <w:r w:rsidDel="00000000" w:rsidR="00000000" w:rsidRPr="00000000">
        <w:rPr>
          <w:rFonts w:ascii="Times New Roman" w:cs="Times New Roman" w:eastAsia="Times New Roman" w:hAnsi="Times New Roman"/>
          <w:i w:val="1"/>
          <w:sz w:val="20"/>
          <w:szCs w:val="20"/>
          <w:rtl w:val="0"/>
        </w:rPr>
        <w:t xml:space="preserve">Journal of Embodied Research</w:t>
      </w:r>
      <w:r w:rsidDel="00000000" w:rsidR="00000000" w:rsidRPr="00000000">
        <w:rPr>
          <w:rFonts w:ascii="Times New Roman" w:cs="Times New Roman" w:eastAsia="Times New Roman" w:hAnsi="Times New Roman"/>
          <w:sz w:val="20"/>
          <w:szCs w:val="20"/>
          <w:rtl w:val="0"/>
        </w:rPr>
        <w:t xml:space="preserve"> 2, no. 1 (May 8, 2019). </w:t>
      </w:r>
      <w:hyperlink r:id="rId18">
        <w:r w:rsidDel="00000000" w:rsidR="00000000" w:rsidRPr="00000000">
          <w:rPr>
            <w:rFonts w:ascii="Times New Roman" w:cs="Times New Roman" w:eastAsia="Times New Roman" w:hAnsi="Times New Roman"/>
            <w:color w:val="1155cc"/>
            <w:sz w:val="20"/>
            <w:szCs w:val="20"/>
            <w:u w:val="single"/>
            <w:rtl w:val="0"/>
          </w:rPr>
          <w:t xml:space="preserve">https://doi.org/10.16995/jer.13</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D">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Hughes, Justin. “Gorgeous Photograph, Limited Copyright.” In </w:t>
      </w:r>
      <w:r w:rsidDel="00000000" w:rsidR="00000000" w:rsidRPr="00000000">
        <w:rPr>
          <w:rFonts w:ascii="Times New Roman" w:cs="Times New Roman" w:eastAsia="Times New Roman" w:hAnsi="Times New Roman"/>
          <w:i w:val="1"/>
          <w:sz w:val="20"/>
          <w:szCs w:val="20"/>
          <w:rtl w:val="0"/>
        </w:rPr>
        <w:t xml:space="preserve">Routledge eBooks</w:t>
      </w:r>
      <w:r w:rsidDel="00000000" w:rsidR="00000000" w:rsidRPr="00000000">
        <w:rPr>
          <w:rFonts w:ascii="Times New Roman" w:cs="Times New Roman" w:eastAsia="Times New Roman" w:hAnsi="Times New Roman"/>
          <w:sz w:val="20"/>
          <w:szCs w:val="20"/>
          <w:rtl w:val="0"/>
        </w:rPr>
        <w:t xml:space="preserve">, 78–90, 2020. </w:t>
      </w:r>
      <w:hyperlink r:id="rId19">
        <w:r w:rsidDel="00000000" w:rsidR="00000000" w:rsidRPr="00000000">
          <w:rPr>
            <w:rFonts w:ascii="Times New Roman" w:cs="Times New Roman" w:eastAsia="Times New Roman" w:hAnsi="Times New Roman"/>
            <w:color w:val="1155cc"/>
            <w:sz w:val="20"/>
            <w:szCs w:val="20"/>
            <w:u w:val="single"/>
            <w:rtl w:val="0"/>
          </w:rPr>
          <w:t xml:space="preserve">https://doi.org/10.4324/9781315658445-12</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E">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Jaszi, Peter. “‘Toward a Theory of Copyright: The Metamorphoses of “Authorship.”’ </w:t>
      </w:r>
      <w:r w:rsidDel="00000000" w:rsidR="00000000" w:rsidRPr="00000000">
        <w:rPr>
          <w:rFonts w:ascii="Times New Roman" w:cs="Times New Roman" w:eastAsia="Times New Roman" w:hAnsi="Times New Roman"/>
          <w:i w:val="1"/>
          <w:sz w:val="20"/>
          <w:szCs w:val="20"/>
          <w:rtl w:val="0"/>
        </w:rPr>
        <w:t xml:space="preserve">Duke Law Journal </w:t>
      </w:r>
      <w:r w:rsidDel="00000000" w:rsidR="00000000" w:rsidRPr="00000000">
        <w:rPr>
          <w:rFonts w:ascii="Times New Roman" w:cs="Times New Roman" w:eastAsia="Times New Roman" w:hAnsi="Times New Roman"/>
          <w:sz w:val="20"/>
          <w:szCs w:val="20"/>
          <w:rtl w:val="0"/>
        </w:rPr>
        <w:t xml:space="preserve">40, no.2 (1991).</w:t>
      </w:r>
      <w:r w:rsidDel="00000000" w:rsidR="00000000" w:rsidRPr="00000000">
        <w:rPr>
          <w:rFonts w:ascii="Times New Roman" w:cs="Times New Roman" w:eastAsia="Times New Roman" w:hAnsi="Times New Roman"/>
          <w:i w:val="1"/>
          <w:sz w:val="20"/>
          <w:szCs w:val="20"/>
          <w:rtl w:val="0"/>
        </w:rPr>
        <w:t xml:space="preserve"> </w:t>
      </w:r>
      <w:hyperlink r:id="rId20">
        <w:r w:rsidDel="00000000" w:rsidR="00000000" w:rsidRPr="00000000">
          <w:rPr>
            <w:rFonts w:ascii="Times New Roman" w:cs="Times New Roman" w:eastAsia="Times New Roman" w:hAnsi="Times New Roman"/>
            <w:color w:val="1155cc"/>
            <w:sz w:val="20"/>
            <w:szCs w:val="20"/>
            <w:u w:val="single"/>
            <w:rtl w:val="0"/>
          </w:rPr>
          <w:t xml:space="preserve">https://scholarship.law.duke.edu/dlj/vol40/iss2/8/</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F">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Justia Law. “Burrow-Giles Lithographic Company V. Sarony, 111 U.S. 53 (1884),” n.d. </w:t>
      </w:r>
      <w:hyperlink r:id="rId21">
        <w:r w:rsidDel="00000000" w:rsidR="00000000" w:rsidRPr="00000000">
          <w:rPr>
            <w:rFonts w:ascii="Times New Roman" w:cs="Times New Roman" w:eastAsia="Times New Roman" w:hAnsi="Times New Roman"/>
            <w:color w:val="1155cc"/>
            <w:sz w:val="20"/>
            <w:szCs w:val="20"/>
            <w:u w:val="single"/>
            <w:rtl w:val="0"/>
          </w:rPr>
          <w:t xml:space="preserve">https://supreme.justia.com/cases/federal/us/111/53/</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0">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Kluwer Copyright Blog. “Copyright Protection of Photographs: A Comparative Analysis Between France, Germany and Italy,”n.d.</w:t>
      </w:r>
      <w:r w:rsidDel="00000000" w:rsidR="00000000" w:rsidRPr="00000000">
        <w:rPr>
          <w:rFonts w:ascii="Times New Roman" w:cs="Times New Roman" w:eastAsia="Times New Roman" w:hAnsi="Times New Roman"/>
          <w:sz w:val="20"/>
          <w:szCs w:val="20"/>
          <w:rtl w:val="0"/>
        </w:rPr>
        <w:t xml:space="preserve">https://legalblogs.wolterskluwer.com/</w:t>
      </w:r>
    </w:p>
    <w:p w:rsidR="00000000" w:rsidDel="00000000" w:rsidP="00000000" w:rsidRDefault="00000000" w:rsidRPr="00000000" w14:paraId="00000061">
      <w:pPr>
        <w:spacing w:line="240" w:lineRule="auto"/>
        <w:ind w:left="144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copyright-blog/copyright-protection-of-</w:t>
      </w:r>
      <w:r w:rsidDel="00000000" w:rsidR="00000000" w:rsidRPr="00000000">
        <w:rPr>
          <w:rFonts w:ascii="Times New Roman" w:cs="Times New Roman" w:eastAsia="Times New Roman" w:hAnsi="Times New Roman"/>
          <w:sz w:val="20"/>
          <w:szCs w:val="20"/>
          <w:rtl w:val="0"/>
        </w:rPr>
        <w:t xml:space="preserve">photographs-a-comparative-analysis-between-</w:t>
      </w:r>
    </w:p>
    <w:p w:rsidR="00000000" w:rsidDel="00000000" w:rsidP="00000000" w:rsidRDefault="00000000" w:rsidRPr="00000000" w14:paraId="00000062">
      <w:pPr>
        <w:spacing w:line="240" w:lineRule="auto"/>
        <w:ind w:left="144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france-germany-and-italy/. </w:t>
      </w:r>
    </w:p>
    <w:p w:rsidR="00000000" w:rsidDel="00000000" w:rsidP="00000000" w:rsidRDefault="00000000" w:rsidRPr="00000000" w14:paraId="00000063">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Kluwer Copyright Blog. “Derivative Works: The Adventures of Koons and Tintin in French Copyright Law,” n.d. </w:t>
      </w:r>
      <w:r w:rsidDel="00000000" w:rsidR="00000000" w:rsidRPr="00000000">
        <w:rPr>
          <w:rFonts w:ascii="Times New Roman" w:cs="Times New Roman" w:eastAsia="Times New Roman" w:hAnsi="Times New Roman"/>
          <w:sz w:val="20"/>
          <w:szCs w:val="20"/>
          <w:rtl w:val="0"/>
        </w:rPr>
        <w:t xml:space="preserve">https://legalblogs.wolterskluwer.com/copyright-blog/derivative-</w:t>
        <w:br w:type="textWrapping"/>
        <w:t xml:space="preserve">works-the-</w:t>
      </w:r>
      <w:r w:rsidDel="00000000" w:rsidR="00000000" w:rsidRPr="00000000">
        <w:rPr>
          <w:rFonts w:ascii="Times New Roman" w:cs="Times New Roman" w:eastAsia="Times New Roman" w:hAnsi="Times New Roman"/>
          <w:sz w:val="20"/>
          <w:szCs w:val="20"/>
          <w:rtl w:val="0"/>
        </w:rPr>
        <w:t xml:space="preserve">adventures-of-koons-and-tintin-in-french-copyright-law/. </w:t>
      </w:r>
    </w:p>
    <w:p w:rsidR="00000000" w:rsidDel="00000000" w:rsidP="00000000" w:rsidRDefault="00000000" w:rsidRPr="00000000" w14:paraId="0000006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Navita. “Photographic Ethics: Juxtaposing Susan Sontag and Judith Butler,” June 1, 2019. </w:t>
      </w:r>
    </w:p>
    <w:p w:rsidR="00000000" w:rsidDel="00000000" w:rsidP="00000000" w:rsidRDefault="00000000" w:rsidRPr="00000000" w14:paraId="00000065">
      <w:pPr>
        <w:spacing w:line="240" w:lineRule="auto"/>
        <w:ind w:firstLine="720"/>
        <w:rPr>
          <w:rFonts w:ascii="Times New Roman" w:cs="Times New Roman" w:eastAsia="Times New Roman" w:hAnsi="Times New Roman"/>
          <w:sz w:val="20"/>
          <w:szCs w:val="20"/>
        </w:rPr>
      </w:pPr>
      <w:hyperlink r:id="rId22">
        <w:r w:rsidDel="00000000" w:rsidR="00000000" w:rsidRPr="00000000">
          <w:rPr>
            <w:rFonts w:ascii="Times New Roman" w:cs="Times New Roman" w:eastAsia="Times New Roman" w:hAnsi="Times New Roman"/>
            <w:color w:val="1155cc"/>
            <w:sz w:val="20"/>
            <w:szCs w:val="20"/>
            <w:u w:val="single"/>
            <w:rtl w:val="0"/>
          </w:rPr>
          <w:t xml:space="preserve">https://www.jetir.org/view?paper=JETIR1908C48</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6">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Park, Seongho. “The Scope of Protection of Photographic Works -focusing on Taking a Photograph of Identical or Similar Subject-,” 2014. </w:t>
      </w:r>
      <w:hyperlink r:id="rId23">
        <w:r w:rsidDel="00000000" w:rsidR="00000000" w:rsidRPr="00000000">
          <w:rPr>
            <w:rFonts w:ascii="Times New Roman" w:cs="Times New Roman" w:eastAsia="Times New Roman" w:hAnsi="Times New Roman"/>
            <w:color w:val="1155cc"/>
            <w:sz w:val="20"/>
            <w:szCs w:val="20"/>
            <w:u w:val="single"/>
            <w:rtl w:val="0"/>
          </w:rPr>
          <w:t xml:space="preserve">https://www.kci.go.kr/kciportal/ci/sereArticleSearch/ciSereArtiView.kci?sereArticleSearchBean.artiId=ART001920336</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Sontag, Susan. On Photography. New York: RosettaBooks, 2020. </w:t>
      </w:r>
    </w:p>
    <w:p w:rsidR="00000000" w:rsidDel="00000000" w:rsidP="00000000" w:rsidRDefault="00000000" w:rsidRPr="00000000" w14:paraId="00000068">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“Seoul High Court 2010 Nu31319 - CaseNote,” n.d. </w:t>
      </w:r>
      <w:hyperlink r:id="rId24">
        <w:r w:rsidDel="00000000" w:rsidR="00000000" w:rsidRPr="00000000">
          <w:rPr>
            <w:rFonts w:ascii="Times New Roman" w:cs="Times New Roman" w:eastAsia="Times New Roman" w:hAnsi="Times New Roman"/>
            <w:sz w:val="20"/>
            <w:szCs w:val="20"/>
            <w:u w:val="single"/>
            <w:rtl w:val="0"/>
          </w:rPr>
          <w:t xml:space="preserve">https://casenote.kr/%EC%84%9C%EC%9A%B8%EA%B3%A0%EB%93%B1%EB%B2%95%EC%9B%90/2010%EB%88%8431319</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9">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Stanford Encyclopedia of Philosophy. “Hannah Arendt: 4.3 Freedom, Natality and Plurality,” July 2006. </w:t>
      </w:r>
      <w:hyperlink r:id="rId25">
        <w:r w:rsidDel="00000000" w:rsidR="00000000" w:rsidRPr="00000000">
          <w:rPr>
            <w:rFonts w:ascii="Times New Roman" w:cs="Times New Roman" w:eastAsia="Times New Roman" w:hAnsi="Times New Roman"/>
            <w:color w:val="1155cc"/>
            <w:sz w:val="20"/>
            <w:szCs w:val="20"/>
            <w:u w:val="single"/>
            <w:rtl w:val="0"/>
          </w:rPr>
          <w:t xml:space="preserve">https://plato.stanford.edu/entries/arendt/#FreeNataPlur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A">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Stanford Encyclopedia of Philosophy. “Hannah Arendt: 4.5 Action and the Space of Appearance,” July 2006. </w:t>
      </w:r>
      <w:hyperlink r:id="rId26">
        <w:r w:rsidDel="00000000" w:rsidR="00000000" w:rsidRPr="00000000">
          <w:rPr>
            <w:rFonts w:ascii="Times New Roman" w:cs="Times New Roman" w:eastAsia="Times New Roman" w:hAnsi="Times New Roman"/>
            <w:sz w:val="20"/>
            <w:szCs w:val="20"/>
            <w:u w:val="single"/>
            <w:rtl w:val="0"/>
          </w:rPr>
          <w:t xml:space="preserve">https://plato.stanford.edu/entries/arendt/#ActiSpacAppe</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B">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Stanford Encyclopedia of Philosophy. “Martin Heidegger: 2.7 Truth,” January 2025. </w:t>
      </w:r>
      <w:hyperlink r:id="rId27">
        <w:r w:rsidDel="00000000" w:rsidR="00000000" w:rsidRPr="00000000">
          <w:rPr>
            <w:rFonts w:ascii="Times New Roman" w:cs="Times New Roman" w:eastAsia="Times New Roman" w:hAnsi="Times New Roman"/>
            <w:sz w:val="20"/>
            <w:szCs w:val="20"/>
            <w:u w:val="single"/>
            <w:rtl w:val="0"/>
          </w:rPr>
          <w:t xml:space="preserve">https://plato.stanford.edu/entries/heidegger/#Trut</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C">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“Supreme Court 98Da43366 - CaseNote,” n.d. </w:t>
      </w:r>
      <w:hyperlink r:id="rId28">
        <w:r w:rsidDel="00000000" w:rsidR="00000000" w:rsidRPr="00000000">
          <w:rPr>
            <w:rFonts w:ascii="Times New Roman" w:cs="Times New Roman" w:eastAsia="Times New Roman" w:hAnsi="Times New Roman"/>
            <w:sz w:val="20"/>
            <w:szCs w:val="20"/>
            <w:u w:val="single"/>
            <w:rtl w:val="0"/>
          </w:rPr>
          <w:t xml:space="preserve">https://casenote.kr/%EB%8C%80%EB%B2%95%EC%9B%90/98%EB%8B%A443366</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D">
      <w:pPr>
        <w:spacing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Yang, Ji-Won, and Hae-Yeon Yoo. “Study on Projects for Recording the Conditions and Characteristics of Life and Historical Culture in Seoul, South Korea.” </w:t>
      </w:r>
      <w:r w:rsidDel="00000000" w:rsidR="00000000" w:rsidRPr="00000000">
        <w:rPr>
          <w:rFonts w:ascii="Times New Roman" w:cs="Times New Roman" w:eastAsia="Times New Roman" w:hAnsi="Times New Roman"/>
          <w:i w:val="1"/>
          <w:sz w:val="20"/>
          <w:szCs w:val="20"/>
          <w:rtl w:val="0"/>
        </w:rPr>
        <w:t xml:space="preserve">Journal of Asian Architecture and Building Engineering</w:t>
      </w:r>
      <w:r w:rsidDel="00000000" w:rsidR="00000000" w:rsidRPr="00000000">
        <w:rPr>
          <w:rFonts w:ascii="Times New Roman" w:cs="Times New Roman" w:eastAsia="Times New Roman" w:hAnsi="Times New Roman"/>
          <w:sz w:val="20"/>
          <w:szCs w:val="20"/>
          <w:rtl w:val="0"/>
        </w:rPr>
        <w:t xml:space="preserve"> 21, no. 5 (August 24, 2021): 1843–58. </w:t>
      </w:r>
      <w:hyperlink r:id="rId29">
        <w:r w:rsidDel="00000000" w:rsidR="00000000" w:rsidRPr="00000000">
          <w:rPr>
            <w:rFonts w:ascii="Times New Roman" w:cs="Times New Roman" w:eastAsia="Times New Roman" w:hAnsi="Times New Roman"/>
            <w:color w:val="1155cc"/>
            <w:sz w:val="20"/>
            <w:szCs w:val="20"/>
            <w:u w:val="single"/>
            <w:rtl w:val="0"/>
          </w:rPr>
          <w:t xml:space="preserve">https://doi.org/10.1080/13467581.2021.1971531</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E">
      <w:pPr>
        <w:spacing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240" w:lineRule="auto"/>
        <w:jc w:val="left"/>
        <w:rPr>
          <w:rFonts w:ascii="Times New Roman" w:cs="Times New Roman" w:eastAsia="Times New Roman" w:hAnsi="Times New Roman"/>
          <w:b w:val="1"/>
          <w:sz w:val="20"/>
          <w:szCs w:val="20"/>
        </w:rPr>
      </w:pPr>
      <w:r w:rsidDel="00000000" w:rsidR="00000000" w:rsidRPr="00000000">
        <w:rPr>
          <w:rtl w:val="0"/>
        </w:rPr>
      </w:r>
    </w:p>
    <w:sectPr>
      <w:headerReference r:id="rId30" w:type="default"/>
      <w:headerReference r:id="rId31" w:type="first"/>
      <w:footerReference r:id="rId32" w:type="defaul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On Photography</w:t>
      </w:r>
      <w:r w:rsidDel="00000000" w:rsidR="00000000" w:rsidRPr="00000000">
        <w:rPr>
          <w:rFonts w:ascii="Times New Roman" w:cs="Times New Roman" w:eastAsia="Times New Roman" w:hAnsi="Times New Roman"/>
          <w:sz w:val="20"/>
          <w:szCs w:val="20"/>
          <w:rtl w:val="0"/>
        </w:rPr>
        <w:t xml:space="preserve">, vol. 10–29 (Susan Sontag, 1977), </w:t>
      </w:r>
      <w:hyperlink r:id="rId1">
        <w:r w:rsidDel="00000000" w:rsidR="00000000" w:rsidRPr="00000000">
          <w:rPr>
            <w:rFonts w:ascii="Times New Roman" w:cs="Times New Roman" w:eastAsia="Times New Roman" w:hAnsi="Times New Roman"/>
            <w:color w:val="1155cc"/>
            <w:sz w:val="20"/>
            <w:szCs w:val="20"/>
            <w:u w:val="single"/>
            <w:rtl w:val="0"/>
          </w:rPr>
          <w:t xml:space="preserve">https://www.lab404.com/3741/readings/sontag.pdf</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Navita, “Photographic Ethics: Juxtaposing Susan Sontag and Judith Butler,” June 1, 2019, </w:t>
      </w:r>
      <w:hyperlink r:id="rId2">
        <w:r w:rsidDel="00000000" w:rsidR="00000000" w:rsidRPr="00000000">
          <w:rPr>
            <w:rFonts w:ascii="Times New Roman" w:cs="Times New Roman" w:eastAsia="Times New Roman" w:hAnsi="Times New Roman"/>
            <w:color w:val="1155cc"/>
            <w:sz w:val="20"/>
            <w:szCs w:val="20"/>
            <w:u w:val="single"/>
            <w:rtl w:val="0"/>
          </w:rPr>
          <w:t xml:space="preserve">https://www.jetir.org/view?paper=JETIR1908C48</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w:t>
      </w:r>
    </w:p>
  </w:footnote>
  <w:footnote w:id="2">
    <w:p w:rsidR="00000000" w:rsidDel="00000000" w:rsidP="00000000" w:rsidRDefault="00000000" w:rsidRPr="00000000" w14:paraId="0000007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“Photography, War, Outrage,” </w:t>
      </w:r>
      <w:r w:rsidDel="00000000" w:rsidR="00000000" w:rsidRPr="00000000">
        <w:rPr>
          <w:rFonts w:ascii="Times New Roman" w:cs="Times New Roman" w:eastAsia="Times New Roman" w:hAnsi="Times New Roman"/>
          <w:i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2005, 822, </w:t>
      </w:r>
      <w:hyperlink r:id="rId3">
        <w:r w:rsidDel="00000000" w:rsidR="00000000" w:rsidRPr="00000000">
          <w:rPr>
            <w:rFonts w:ascii="Times New Roman" w:cs="Times New Roman" w:eastAsia="Times New Roman" w:hAnsi="Times New Roman"/>
            <w:color w:val="1155cc"/>
            <w:sz w:val="20"/>
            <w:szCs w:val="20"/>
            <w:u w:val="single"/>
            <w:rtl w:val="0"/>
          </w:rPr>
          <w:t xml:space="preserve">https://www.jstor.org/stable/25486216?seq=1</w:t>
        </w:r>
      </w:hyperlink>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7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Jan Bierhanzl, “The Disobedience of Seeing,” </w:t>
      </w:r>
      <w:r w:rsidDel="00000000" w:rsidR="00000000" w:rsidRPr="00000000">
        <w:rPr>
          <w:rFonts w:ascii="Times New Roman" w:cs="Times New Roman" w:eastAsia="Times New Roman" w:hAnsi="Times New Roman"/>
          <w:i w:val="1"/>
          <w:sz w:val="20"/>
          <w:szCs w:val="20"/>
          <w:rtl w:val="0"/>
        </w:rPr>
        <w:t xml:space="preserve">Aesthetic Investigations</w:t>
      </w:r>
      <w:r w:rsidDel="00000000" w:rsidR="00000000" w:rsidRPr="00000000">
        <w:rPr>
          <w:rFonts w:ascii="Times New Roman" w:cs="Times New Roman" w:eastAsia="Times New Roman" w:hAnsi="Times New Roman"/>
          <w:sz w:val="20"/>
          <w:szCs w:val="20"/>
          <w:rtl w:val="0"/>
        </w:rPr>
        <w:t xml:space="preserve"> 5, no. 2 (January 31, 2023): 116–28, </w:t>
      </w:r>
      <w:hyperlink r:id="rId4">
        <w:r w:rsidDel="00000000" w:rsidR="00000000" w:rsidRPr="00000000">
          <w:rPr>
            <w:rFonts w:ascii="Times New Roman" w:cs="Times New Roman" w:eastAsia="Times New Roman" w:hAnsi="Times New Roman"/>
            <w:color w:val="1155cc"/>
            <w:sz w:val="20"/>
            <w:szCs w:val="20"/>
            <w:u w:val="single"/>
            <w:rtl w:val="0"/>
          </w:rPr>
          <w:t xml:space="preserve">https://doi.org/10.58519/aesthinv.v5i2.12980</w:t>
        </w:r>
      </w:hyperlink>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7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“Martin Heidegger: 2.7 Truth,” </w:t>
      </w:r>
      <w:r w:rsidDel="00000000" w:rsidR="00000000" w:rsidRPr="00000000">
        <w:rPr>
          <w:rFonts w:ascii="Times New Roman" w:cs="Times New Roman" w:eastAsia="Times New Roman" w:hAnsi="Times New Roman"/>
          <w:i w:val="1"/>
          <w:sz w:val="20"/>
          <w:szCs w:val="20"/>
          <w:rtl w:val="0"/>
        </w:rPr>
        <w:t xml:space="preserve">Stanford Encyclopedia of Philosophy</w:t>
      </w:r>
      <w:r w:rsidDel="00000000" w:rsidR="00000000" w:rsidRPr="00000000">
        <w:rPr>
          <w:rFonts w:ascii="Times New Roman" w:cs="Times New Roman" w:eastAsia="Times New Roman" w:hAnsi="Times New Roman"/>
          <w:sz w:val="20"/>
          <w:szCs w:val="20"/>
          <w:rtl w:val="0"/>
        </w:rPr>
        <w:t xml:space="preserve">, January 2025, </w:t>
      </w:r>
      <w:hyperlink r:id="rId5">
        <w:r w:rsidDel="00000000" w:rsidR="00000000" w:rsidRPr="00000000">
          <w:rPr>
            <w:rFonts w:ascii="Times New Roman" w:cs="Times New Roman" w:eastAsia="Times New Roman" w:hAnsi="Times New Roman"/>
            <w:color w:val="1155cc"/>
            <w:sz w:val="20"/>
            <w:szCs w:val="20"/>
            <w:u w:val="single"/>
            <w:rtl w:val="0"/>
          </w:rPr>
          <w:t xml:space="preserve">https://plato.stanford.edu/entries/heidegger/#Trut</w:t>
        </w:r>
      </w:hyperlink>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7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Falk Heinrich and Thomas Wolsing, “To Be a Work Means to Set up a World: Into the Woods With Heidegger,” </w:t>
      </w:r>
      <w:r w:rsidDel="00000000" w:rsidR="00000000" w:rsidRPr="00000000">
        <w:rPr>
          <w:rFonts w:ascii="Times New Roman" w:cs="Times New Roman" w:eastAsia="Times New Roman" w:hAnsi="Times New Roman"/>
          <w:i w:val="1"/>
          <w:sz w:val="20"/>
          <w:szCs w:val="20"/>
          <w:rtl w:val="0"/>
        </w:rPr>
        <w:t xml:space="preserve">Journal of Embodied Research</w:t>
      </w:r>
      <w:r w:rsidDel="00000000" w:rsidR="00000000" w:rsidRPr="00000000">
        <w:rPr>
          <w:rFonts w:ascii="Times New Roman" w:cs="Times New Roman" w:eastAsia="Times New Roman" w:hAnsi="Times New Roman"/>
          <w:sz w:val="20"/>
          <w:szCs w:val="20"/>
          <w:rtl w:val="0"/>
        </w:rPr>
        <w:t xml:space="preserve"> 2, no. 1 (May 8, 2019), </w:t>
      </w:r>
      <w:hyperlink r:id="rId6">
        <w:r w:rsidDel="00000000" w:rsidR="00000000" w:rsidRPr="00000000">
          <w:rPr>
            <w:rFonts w:ascii="Times New Roman" w:cs="Times New Roman" w:eastAsia="Times New Roman" w:hAnsi="Times New Roman"/>
            <w:color w:val="1155cc"/>
            <w:sz w:val="20"/>
            <w:szCs w:val="20"/>
            <w:u w:val="single"/>
            <w:rtl w:val="0"/>
          </w:rPr>
          <w:t xml:space="preserve">https://doi.org/10.16995/jer.13</w:t>
        </w:r>
      </w:hyperlink>
      <w:r w:rsidDel="00000000" w:rsidR="00000000" w:rsidRPr="00000000">
        <w:rPr>
          <w:rFonts w:ascii="Times New Roman" w:cs="Times New Roman" w:eastAsia="Times New Roman" w:hAnsi="Times New Roman"/>
          <w:sz w:val="20"/>
          <w:szCs w:val="20"/>
          <w:rtl w:val="0"/>
        </w:rPr>
        <w:t xml:space="preserve">. </w:t>
      </w:r>
    </w:p>
  </w:footnote>
  <w:footnote w:id="6">
    <w:p w:rsidR="00000000" w:rsidDel="00000000" w:rsidP="00000000" w:rsidRDefault="00000000" w:rsidRPr="00000000" w14:paraId="0000007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“Hannah Arendt: 4.3 Freedom, Natality and Plurality,” </w:t>
      </w:r>
      <w:r w:rsidDel="00000000" w:rsidR="00000000" w:rsidRPr="00000000">
        <w:rPr>
          <w:rFonts w:ascii="Times New Roman" w:cs="Times New Roman" w:eastAsia="Times New Roman" w:hAnsi="Times New Roman"/>
          <w:i w:val="1"/>
          <w:sz w:val="20"/>
          <w:szCs w:val="20"/>
          <w:rtl w:val="0"/>
        </w:rPr>
        <w:t xml:space="preserve">Stanford Encyclopedia of Philosophy</w:t>
      </w:r>
      <w:r w:rsidDel="00000000" w:rsidR="00000000" w:rsidRPr="00000000">
        <w:rPr>
          <w:rFonts w:ascii="Times New Roman" w:cs="Times New Roman" w:eastAsia="Times New Roman" w:hAnsi="Times New Roman"/>
          <w:sz w:val="20"/>
          <w:szCs w:val="20"/>
          <w:rtl w:val="0"/>
        </w:rPr>
        <w:t xml:space="preserve">, July 2006, </w:t>
      </w:r>
      <w:hyperlink r:id="rId7">
        <w:r w:rsidDel="00000000" w:rsidR="00000000" w:rsidRPr="00000000">
          <w:rPr>
            <w:rFonts w:ascii="Times New Roman" w:cs="Times New Roman" w:eastAsia="Times New Roman" w:hAnsi="Times New Roman"/>
            <w:color w:val="1155cc"/>
            <w:sz w:val="20"/>
            <w:szCs w:val="20"/>
            <w:u w:val="single"/>
            <w:rtl w:val="0"/>
          </w:rPr>
          <w:t xml:space="preserve">https://plato.stanford.edu/entries/arendt/#FreeNataPlur</w:t>
        </w:r>
      </w:hyperlink>
      <w:r w:rsidDel="00000000" w:rsidR="00000000" w:rsidRPr="00000000">
        <w:rPr>
          <w:rFonts w:ascii="Times New Roman" w:cs="Times New Roman" w:eastAsia="Times New Roman" w:hAnsi="Times New Roman"/>
          <w:sz w:val="20"/>
          <w:szCs w:val="20"/>
          <w:rtl w:val="0"/>
        </w:rPr>
        <w:t xml:space="preserve">. </w:t>
      </w:r>
    </w:p>
  </w:footnote>
  <w:footnote w:id="7">
    <w:p w:rsidR="00000000" w:rsidDel="00000000" w:rsidP="00000000" w:rsidRDefault="00000000" w:rsidRPr="00000000" w14:paraId="0000007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“Hannah Arendt: 4.5 Action and the Space of Appearance,” </w:t>
      </w:r>
      <w:r w:rsidDel="00000000" w:rsidR="00000000" w:rsidRPr="00000000">
        <w:rPr>
          <w:rFonts w:ascii="Times New Roman" w:cs="Times New Roman" w:eastAsia="Times New Roman" w:hAnsi="Times New Roman"/>
          <w:i w:val="1"/>
          <w:sz w:val="20"/>
          <w:szCs w:val="20"/>
          <w:rtl w:val="0"/>
        </w:rPr>
        <w:t xml:space="preserve">Stanford Encyclopedia of Philosophy</w:t>
      </w:r>
      <w:r w:rsidDel="00000000" w:rsidR="00000000" w:rsidRPr="00000000">
        <w:rPr>
          <w:rFonts w:ascii="Times New Roman" w:cs="Times New Roman" w:eastAsia="Times New Roman" w:hAnsi="Times New Roman"/>
          <w:sz w:val="20"/>
          <w:szCs w:val="20"/>
          <w:rtl w:val="0"/>
        </w:rPr>
        <w:t xml:space="preserve">, July 2006, </w:t>
      </w:r>
      <w:hyperlink r:id="rId8">
        <w:r w:rsidDel="00000000" w:rsidR="00000000" w:rsidRPr="00000000">
          <w:rPr>
            <w:rFonts w:ascii="Times New Roman" w:cs="Times New Roman" w:eastAsia="Times New Roman" w:hAnsi="Times New Roman"/>
            <w:color w:val="1155cc"/>
            <w:sz w:val="20"/>
            <w:szCs w:val="20"/>
            <w:u w:val="single"/>
            <w:rtl w:val="0"/>
          </w:rPr>
          <w:t xml:space="preserve">https://plato.stanford.edu/entries/arendt/#ActiSpacAppe</w:t>
        </w:r>
      </w:hyperlink>
      <w:r w:rsidDel="00000000" w:rsidR="00000000" w:rsidRPr="00000000">
        <w:rPr>
          <w:rFonts w:ascii="Times New Roman" w:cs="Times New Roman" w:eastAsia="Times New Roman" w:hAnsi="Times New Roman"/>
          <w:sz w:val="20"/>
          <w:szCs w:val="20"/>
          <w:rtl w:val="0"/>
        </w:rPr>
        <w:t xml:space="preserve">. </w:t>
      </w:r>
    </w:p>
  </w:footnote>
  <w:footnote w:id="8">
    <w:p w:rsidR="00000000" w:rsidDel="00000000" w:rsidP="00000000" w:rsidRDefault="00000000" w:rsidRPr="00000000" w14:paraId="0000007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“Civil Imagination: A Political Ontology of Photography,” Civil Imagination: A Political Ontology of Photography, April 11, 2013, </w:t>
      </w:r>
      <w:hyperlink r:id="rId9">
        <w:r w:rsidDel="00000000" w:rsidR="00000000" w:rsidRPr="00000000">
          <w:rPr>
            <w:rFonts w:ascii="Times New Roman" w:cs="Times New Roman" w:eastAsia="Times New Roman" w:hAnsi="Times New Roman"/>
            <w:color w:val="1155cc"/>
            <w:sz w:val="20"/>
            <w:szCs w:val="20"/>
            <w:u w:val="single"/>
            <w:rtl w:val="0"/>
          </w:rPr>
          <w:t xml:space="preserve">https://www.caareviews.org/reviews/2022</w:t>
        </w:r>
      </w:hyperlink>
      <w:r w:rsidDel="00000000" w:rsidR="00000000" w:rsidRPr="00000000">
        <w:rPr>
          <w:rFonts w:ascii="Times New Roman" w:cs="Times New Roman" w:eastAsia="Times New Roman" w:hAnsi="Times New Roman"/>
          <w:sz w:val="20"/>
          <w:szCs w:val="20"/>
          <w:rtl w:val="0"/>
        </w:rPr>
        <w:t xml:space="preserve">. </w:t>
      </w:r>
    </w:p>
  </w:footnote>
  <w:footnote w:id="9">
    <w:p w:rsidR="00000000" w:rsidDel="00000000" w:rsidP="00000000" w:rsidRDefault="00000000" w:rsidRPr="00000000" w14:paraId="0000007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Jason Lee Guthrie, “Entered According to Act of Congress: Copyright and Photography in 19th Century America,” Military Images 38, no. 1 (211) (2020): 72–75, </w:t>
      </w:r>
      <w:hyperlink r:id="rId10">
        <w:r w:rsidDel="00000000" w:rsidR="00000000" w:rsidRPr="00000000">
          <w:rPr>
            <w:rFonts w:ascii="Times New Roman" w:cs="Times New Roman" w:eastAsia="Times New Roman" w:hAnsi="Times New Roman"/>
            <w:color w:val="1155cc"/>
            <w:sz w:val="20"/>
            <w:szCs w:val="20"/>
            <w:u w:val="single"/>
            <w:rtl w:val="0"/>
          </w:rPr>
          <w:t xml:space="preserve">https://www.jstor.org/stable/26811005</w:t>
        </w:r>
      </w:hyperlink>
      <w:r w:rsidDel="00000000" w:rsidR="00000000" w:rsidRPr="00000000">
        <w:rPr>
          <w:rFonts w:ascii="Times New Roman" w:cs="Times New Roman" w:eastAsia="Times New Roman" w:hAnsi="Times New Roman"/>
          <w:sz w:val="20"/>
          <w:szCs w:val="20"/>
          <w:rtl w:val="0"/>
        </w:rPr>
        <w:t xml:space="preserve">.</w:t>
      </w:r>
    </w:p>
  </w:footnote>
  <w:footnote w:id="10">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“Burrow-Giles Lithographic Company V. Sarony, 111 U.S. 53 (1884),” Justia Law, n.d., </w:t>
      </w:r>
      <w:hyperlink r:id="rId11">
        <w:r w:rsidDel="00000000" w:rsidR="00000000" w:rsidRPr="00000000">
          <w:rPr>
            <w:rFonts w:ascii="Times New Roman" w:cs="Times New Roman" w:eastAsia="Times New Roman" w:hAnsi="Times New Roman"/>
            <w:color w:val="1155cc"/>
            <w:sz w:val="20"/>
            <w:szCs w:val="20"/>
            <w:u w:val="single"/>
            <w:rtl w:val="0"/>
          </w:rPr>
          <w:t xml:space="preserve">https://supreme.justia.com/cases/federal/us/111/53/</w:t>
        </w:r>
      </w:hyperlink>
      <w:r w:rsidDel="00000000" w:rsidR="00000000" w:rsidRPr="00000000">
        <w:rPr>
          <w:rFonts w:ascii="Times New Roman" w:cs="Times New Roman" w:eastAsia="Times New Roman" w:hAnsi="Times New Roman"/>
          <w:sz w:val="20"/>
          <w:szCs w:val="20"/>
          <w:rtl w:val="0"/>
        </w:rPr>
        <w:t xml:space="preserve">. </w:t>
      </w:r>
    </w:p>
  </w:footnote>
  <w:footnote w:id="11">
    <w:p w:rsidR="00000000" w:rsidDel="00000000" w:rsidP="00000000" w:rsidRDefault="00000000" w:rsidRPr="00000000" w14:paraId="0000007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Elena Cooper and Sheona Burrow, “Photographic Copyright and the Intellectual Property Enterprise Court in Historical Perspective,” </w:t>
      </w:r>
      <w:r w:rsidDel="00000000" w:rsidR="00000000" w:rsidRPr="00000000">
        <w:rPr>
          <w:rFonts w:ascii="Times New Roman" w:cs="Times New Roman" w:eastAsia="Times New Roman" w:hAnsi="Times New Roman"/>
          <w:i w:val="1"/>
          <w:sz w:val="20"/>
          <w:szCs w:val="20"/>
          <w:rtl w:val="0"/>
        </w:rPr>
        <w:t xml:space="preserve">CREATe</w:t>
      </w:r>
      <w:r w:rsidDel="00000000" w:rsidR="00000000" w:rsidRPr="00000000">
        <w:rPr>
          <w:rFonts w:ascii="Times New Roman" w:cs="Times New Roman" w:eastAsia="Times New Roman" w:hAnsi="Times New Roman"/>
          <w:sz w:val="20"/>
          <w:szCs w:val="20"/>
          <w:rtl w:val="0"/>
        </w:rPr>
        <w:t xml:space="preserve">, May 2018, </w:t>
      </w:r>
      <w:hyperlink r:id="rId12">
        <w:r w:rsidDel="00000000" w:rsidR="00000000" w:rsidRPr="00000000">
          <w:rPr>
            <w:rFonts w:ascii="Times New Roman" w:cs="Times New Roman" w:eastAsia="Times New Roman" w:hAnsi="Times New Roman"/>
            <w:color w:val="1155cc"/>
            <w:sz w:val="20"/>
            <w:szCs w:val="20"/>
            <w:u w:val="single"/>
            <w:rtl w:val="0"/>
          </w:rPr>
          <w:t xml:space="preserve">https://zenodo.org/record/1246559/files/CREATe-Working-Paper-1802.pdf</w:t>
        </w:r>
      </w:hyperlink>
      <w:r w:rsidDel="00000000" w:rsidR="00000000" w:rsidRPr="00000000">
        <w:rPr>
          <w:rFonts w:ascii="Times New Roman" w:cs="Times New Roman" w:eastAsia="Times New Roman" w:hAnsi="Times New Roman"/>
          <w:sz w:val="20"/>
          <w:szCs w:val="20"/>
          <w:rtl w:val="0"/>
        </w:rPr>
        <w:t xml:space="preserve">. </w:t>
      </w:r>
    </w:p>
  </w:footnote>
  <w:footnote w:id="13">
    <w:p w:rsidR="00000000" w:rsidDel="00000000" w:rsidP="00000000" w:rsidRDefault="00000000" w:rsidRPr="00000000" w14:paraId="0000007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Marie-Stéphanie Delamaire and Will Slauter, </w:t>
      </w:r>
      <w:r w:rsidDel="00000000" w:rsidR="00000000" w:rsidRPr="00000000">
        <w:rPr>
          <w:rFonts w:ascii="Times New Roman" w:cs="Times New Roman" w:eastAsia="Times New Roman" w:hAnsi="Times New Roman"/>
          <w:i w:val="1"/>
          <w:sz w:val="20"/>
          <w:szCs w:val="20"/>
          <w:rtl w:val="0"/>
        </w:rPr>
        <w:t xml:space="preserve">Circulation and Control: Artistic Culture and Intellectual Property in the Nineteenth Century</w:t>
      </w:r>
      <w:r w:rsidDel="00000000" w:rsidR="00000000" w:rsidRPr="00000000">
        <w:rPr>
          <w:rFonts w:ascii="Times New Roman" w:cs="Times New Roman" w:eastAsia="Times New Roman" w:hAnsi="Times New Roman"/>
          <w:sz w:val="20"/>
          <w:szCs w:val="20"/>
          <w:rtl w:val="0"/>
        </w:rPr>
        <w:t xml:space="preserve">, vol. 402 (OpenBook Publishers, 2021), </w:t>
      </w:r>
      <w:hyperlink r:id="rId13">
        <w:r w:rsidDel="00000000" w:rsidR="00000000" w:rsidRPr="00000000">
          <w:rPr>
            <w:rFonts w:ascii="Times New Roman" w:cs="Times New Roman" w:eastAsia="Times New Roman" w:hAnsi="Times New Roman"/>
            <w:color w:val="1155cc"/>
            <w:sz w:val="20"/>
            <w:szCs w:val="20"/>
            <w:u w:val="single"/>
            <w:rtl w:val="0"/>
          </w:rPr>
          <w:t xml:space="preserve">https://www.openbookpublishers.com/books/10.11647/obp.0247</w:t>
        </w:r>
      </w:hyperlink>
      <w:r w:rsidDel="00000000" w:rsidR="00000000" w:rsidRPr="00000000">
        <w:rPr>
          <w:rFonts w:ascii="Times New Roman" w:cs="Times New Roman" w:eastAsia="Times New Roman" w:hAnsi="Times New Roman"/>
          <w:sz w:val="20"/>
          <w:szCs w:val="20"/>
          <w:rtl w:val="0"/>
        </w:rPr>
        <w:t xml:space="preserve">. </w:t>
      </w:r>
    </w:p>
  </w:footnote>
  <w:footnote w:id="14">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“‘Toward a Theory of Copyright: The Metamorphoses of “Authorship”’ by Peter Jaszi,” n.d., </w:t>
      </w:r>
      <w:hyperlink r:id="rId14">
        <w:r w:rsidDel="00000000" w:rsidR="00000000" w:rsidRPr="00000000">
          <w:rPr>
            <w:rFonts w:ascii="Times New Roman" w:cs="Times New Roman" w:eastAsia="Times New Roman" w:hAnsi="Times New Roman"/>
            <w:color w:val="1155cc"/>
            <w:sz w:val="20"/>
            <w:szCs w:val="20"/>
            <w:u w:val="single"/>
            <w:rtl w:val="0"/>
          </w:rPr>
          <w:t xml:space="preserve">https://scholarship.law.duke.edu/dlj/vol40/iss2/8/</w:t>
        </w:r>
      </w:hyperlink>
      <w:r w:rsidDel="00000000" w:rsidR="00000000" w:rsidRPr="00000000">
        <w:rPr>
          <w:rFonts w:ascii="Times New Roman" w:cs="Times New Roman" w:eastAsia="Times New Roman" w:hAnsi="Times New Roman"/>
          <w:sz w:val="20"/>
          <w:szCs w:val="20"/>
          <w:rtl w:val="0"/>
        </w:rPr>
        <w:t xml:space="preserve">. </w:t>
      </w:r>
    </w:p>
  </w:footnote>
  <w:footnote w:id="15">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Christopher Buccafusco, “A Theory of Copyright Authorship.” </w:t>
      </w:r>
      <w:r w:rsidDel="00000000" w:rsidR="00000000" w:rsidRPr="00000000">
        <w:rPr>
          <w:rFonts w:ascii="Times New Roman" w:cs="Times New Roman" w:eastAsia="Times New Roman" w:hAnsi="Times New Roman"/>
          <w:i w:val="1"/>
          <w:sz w:val="20"/>
          <w:szCs w:val="20"/>
          <w:rtl w:val="0"/>
        </w:rPr>
        <w:t xml:space="preserve">Virginia Law Review </w:t>
      </w:r>
      <w:r w:rsidDel="00000000" w:rsidR="00000000" w:rsidRPr="00000000">
        <w:rPr>
          <w:rFonts w:ascii="Times New Roman" w:cs="Times New Roman" w:eastAsia="Times New Roman" w:hAnsi="Times New Roman"/>
          <w:sz w:val="20"/>
          <w:szCs w:val="20"/>
          <w:rtl w:val="0"/>
        </w:rPr>
        <w:t xml:space="preserve">102 (2016): 1229-1205 </w:t>
      </w:r>
      <w:hyperlink r:id="rId15">
        <w:r w:rsidDel="00000000" w:rsidR="00000000" w:rsidRPr="00000000">
          <w:rPr>
            <w:rFonts w:ascii="Times New Roman" w:cs="Times New Roman" w:eastAsia="Times New Roman" w:hAnsi="Times New Roman"/>
            <w:color w:val="1155cc"/>
            <w:sz w:val="20"/>
            <w:szCs w:val="20"/>
            <w:u w:val="single"/>
            <w:rtl w:val="0"/>
          </w:rPr>
          <w:t xml:space="preserve">https://papers.ssrn.com/sol3/papers.cfm?abstract_id=2664891#</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20">
    <w:p w:rsidR="00000000" w:rsidDel="00000000" w:rsidP="00000000" w:rsidRDefault="00000000" w:rsidRPr="00000000" w14:paraId="0000007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“EU Aims to Be a Global Norm-setter Regarding IP,” Bird &amp; Bird, n.d., </w:t>
      </w:r>
      <w:hyperlink r:id="rId16">
        <w:r w:rsidDel="00000000" w:rsidR="00000000" w:rsidRPr="00000000">
          <w:rPr>
            <w:rFonts w:ascii="Times New Roman" w:cs="Times New Roman" w:eastAsia="Times New Roman" w:hAnsi="Times New Roman"/>
            <w:color w:val="1155cc"/>
            <w:sz w:val="20"/>
            <w:szCs w:val="20"/>
            <w:u w:val="single"/>
            <w:rtl w:val="0"/>
          </w:rPr>
          <w:t xml:space="preserve">https://www.twobirds.com/en/insights/2020/global/eu-aims-to-be-a-global-norm-setter-regarding-ip</w:t>
        </w:r>
      </w:hyperlink>
      <w:r w:rsidDel="00000000" w:rsidR="00000000" w:rsidRPr="00000000">
        <w:rPr>
          <w:rFonts w:ascii="Times New Roman" w:cs="Times New Roman" w:eastAsia="Times New Roman" w:hAnsi="Times New Roman"/>
          <w:sz w:val="20"/>
          <w:szCs w:val="20"/>
          <w:rtl w:val="0"/>
        </w:rPr>
        <w:t xml:space="preserve">. </w:t>
      </w:r>
    </w:p>
  </w:footnote>
  <w:footnote w:id="21">
    <w:p w:rsidR="00000000" w:rsidDel="00000000" w:rsidP="00000000" w:rsidRDefault="00000000" w:rsidRPr="00000000" w14:paraId="0000008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Ethan M. Fishman, “To Secure These Rights: The Supreme Court and Snyder V. Phelps,” 2011, </w:t>
      </w:r>
      <w:hyperlink r:id="rId17">
        <w:r w:rsidDel="00000000" w:rsidR="00000000" w:rsidRPr="00000000">
          <w:rPr>
            <w:rFonts w:ascii="Times New Roman" w:cs="Times New Roman" w:eastAsia="Times New Roman" w:hAnsi="Times New Roman"/>
            <w:color w:val="1155cc"/>
            <w:sz w:val="20"/>
            <w:szCs w:val="20"/>
            <w:u w:val="single"/>
            <w:rtl w:val="0"/>
          </w:rPr>
          <w:t xml:space="preserve">https://www.semanticscholar.org/paper/To-Secure-These-Rights%3A-The-Supreme-Court-and-V.-Fishman/4e807dfb1319b54847ff0f3c1cf56495e1ad70ea</w:t>
        </w:r>
      </w:hyperlink>
      <w:r w:rsidDel="00000000" w:rsidR="00000000" w:rsidRPr="00000000">
        <w:rPr>
          <w:rFonts w:ascii="Times New Roman" w:cs="Times New Roman" w:eastAsia="Times New Roman" w:hAnsi="Times New Roman"/>
          <w:sz w:val="20"/>
          <w:szCs w:val="20"/>
          <w:rtl w:val="0"/>
        </w:rPr>
        <w:t xml:space="preserve">. </w:t>
      </w:r>
    </w:p>
  </w:footnote>
  <w:footnote w:id="22">
    <w:p w:rsidR="00000000" w:rsidDel="00000000" w:rsidP="00000000" w:rsidRDefault="00000000" w:rsidRPr="00000000" w14:paraId="0000008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Marta Arisi, “Reproductions of Visual Art Works in the Public Domain: The Art. 14 of the Digital Single Market Copyright Directive and the Transposition in Italy,” </w:t>
      </w:r>
      <w:r w:rsidDel="00000000" w:rsidR="00000000" w:rsidRPr="00000000">
        <w:rPr>
          <w:rFonts w:ascii="Times New Roman" w:cs="Times New Roman" w:eastAsia="Times New Roman" w:hAnsi="Times New Roman"/>
          <w:i w:val="1"/>
          <w:sz w:val="20"/>
          <w:szCs w:val="20"/>
          <w:rtl w:val="0"/>
        </w:rPr>
        <w:t xml:space="preserve">Aedon</w:t>
      </w:r>
      <w:r w:rsidDel="00000000" w:rsidR="00000000" w:rsidRPr="00000000">
        <w:rPr>
          <w:rFonts w:ascii="Times New Roman" w:cs="Times New Roman" w:eastAsia="Times New Roman" w:hAnsi="Times New Roman"/>
          <w:sz w:val="20"/>
          <w:szCs w:val="20"/>
          <w:rtl w:val="0"/>
        </w:rPr>
        <w:t xml:space="preserve">, no. 1 (January 1, 2021): 0, </w:t>
      </w:r>
      <w:hyperlink r:id="rId18">
        <w:r w:rsidDel="00000000" w:rsidR="00000000" w:rsidRPr="00000000">
          <w:rPr>
            <w:rFonts w:ascii="Times New Roman" w:cs="Times New Roman" w:eastAsia="Times New Roman" w:hAnsi="Times New Roman"/>
            <w:color w:val="1155cc"/>
            <w:sz w:val="20"/>
            <w:szCs w:val="20"/>
            <w:u w:val="single"/>
            <w:rtl w:val="0"/>
          </w:rPr>
          <w:t xml:space="preserve">https://doi.org/10.7390/100562</w:t>
        </w:r>
      </w:hyperlink>
      <w:r w:rsidDel="00000000" w:rsidR="00000000" w:rsidRPr="00000000">
        <w:rPr>
          <w:rFonts w:ascii="Times New Roman" w:cs="Times New Roman" w:eastAsia="Times New Roman" w:hAnsi="Times New Roman"/>
          <w:sz w:val="20"/>
          <w:szCs w:val="20"/>
          <w:rtl w:val="0"/>
        </w:rPr>
        <w:t xml:space="preserve">. </w:t>
      </w:r>
    </w:p>
  </w:footnote>
  <w:footnote w:id="23">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“Copyright Protection of Photographs: A Comparative Analysis Between France, Germany and Italy,” Kluwer Copyright Blog, n.d., </w:t>
      </w:r>
    </w:p>
    <w:p w:rsidR="00000000" w:rsidDel="00000000" w:rsidP="00000000" w:rsidRDefault="00000000" w:rsidRPr="00000000" w14:paraId="00000083">
      <w:pPr>
        <w:spacing w:line="240" w:lineRule="auto"/>
        <w:rPr>
          <w:rFonts w:ascii="Times New Roman" w:cs="Times New Roman" w:eastAsia="Times New Roman" w:hAnsi="Times New Roman"/>
          <w:sz w:val="20"/>
          <w:szCs w:val="20"/>
        </w:rPr>
      </w:pPr>
      <w:hyperlink r:id="rId19">
        <w:r w:rsidDel="00000000" w:rsidR="00000000" w:rsidRPr="00000000">
          <w:rPr>
            <w:rFonts w:ascii="Times New Roman" w:cs="Times New Roman" w:eastAsia="Times New Roman" w:hAnsi="Times New Roman"/>
            <w:color w:val="1155cc"/>
            <w:sz w:val="20"/>
            <w:szCs w:val="20"/>
            <w:u w:val="single"/>
            <w:rtl w:val="0"/>
          </w:rPr>
          <w:t xml:space="preserve">https://legalblogs.wolterskluwer.com/copyright-blog/copyright-protection-of-photographs-a-comparative-analysis-between-france-germany-and-italy/</w:t>
        </w:r>
      </w:hyperlink>
      <w:r w:rsidDel="00000000" w:rsidR="00000000" w:rsidRPr="00000000">
        <w:rPr>
          <w:rFonts w:ascii="Times New Roman" w:cs="Times New Roman" w:eastAsia="Times New Roman" w:hAnsi="Times New Roman"/>
          <w:sz w:val="20"/>
          <w:szCs w:val="20"/>
          <w:rtl w:val="0"/>
        </w:rPr>
        <w:t xml:space="preserve">. </w:t>
      </w:r>
    </w:p>
  </w:footnote>
  <w:footnote w:id="24">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“Derivative Works: The Adventures of Koons and Tintin in French Copyright Law,” Kluwer Copyright Blog, September 1, 2021, </w:t>
      </w:r>
      <w:hyperlink r:id="rId20">
        <w:r w:rsidDel="00000000" w:rsidR="00000000" w:rsidRPr="00000000">
          <w:rPr>
            <w:rFonts w:ascii="Times New Roman" w:cs="Times New Roman" w:eastAsia="Times New Roman" w:hAnsi="Times New Roman"/>
            <w:color w:val="1155cc"/>
            <w:sz w:val="20"/>
            <w:szCs w:val="20"/>
            <w:u w:val="single"/>
            <w:rtl w:val="0"/>
          </w:rPr>
          <w:t xml:space="preserve">https://legalblogs.wolterskluwer.com/copyright-blog/derivative-works-the-adventures-of-koons-and-tintin-in-french-copyright-law/</w:t>
        </w:r>
      </w:hyperlink>
      <w:r w:rsidDel="00000000" w:rsidR="00000000" w:rsidRPr="00000000">
        <w:rPr>
          <w:rFonts w:ascii="Times New Roman" w:cs="Times New Roman" w:eastAsia="Times New Roman" w:hAnsi="Times New Roman"/>
          <w:sz w:val="20"/>
          <w:szCs w:val="20"/>
          <w:rtl w:val="0"/>
        </w:rPr>
        <w:t xml:space="preserve">. </w:t>
      </w:r>
    </w:p>
  </w:footnote>
  <w:footnote w:id="25">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Maya El-Auwad, “Lichtbild Vs. Lichtbildwerk – Wo Der Unterschied Liegt – iRights.info,” iRights.info, November 12, 2024, </w:t>
      </w:r>
      <w:hyperlink r:id="rId21">
        <w:r w:rsidDel="00000000" w:rsidR="00000000" w:rsidRPr="00000000">
          <w:rPr>
            <w:rFonts w:ascii="Times New Roman" w:cs="Times New Roman" w:eastAsia="Times New Roman" w:hAnsi="Times New Roman"/>
            <w:color w:val="1155cc"/>
            <w:sz w:val="20"/>
            <w:szCs w:val="20"/>
            <w:u w:val="single"/>
            <w:rtl w:val="0"/>
          </w:rPr>
          <w:t xml:space="preserve">https://irights.info/artikel/lichtbild-vs-lichtbildwerk-unterschied/31634</w:t>
        </w:r>
      </w:hyperlink>
      <w:r w:rsidDel="00000000" w:rsidR="00000000" w:rsidRPr="00000000">
        <w:rPr>
          <w:rFonts w:ascii="Times New Roman" w:cs="Times New Roman" w:eastAsia="Times New Roman" w:hAnsi="Times New Roman"/>
          <w:sz w:val="20"/>
          <w:szCs w:val="20"/>
          <w:rtl w:val="0"/>
        </w:rPr>
        <w:t xml:space="preserve">. </w:t>
      </w:r>
    </w:p>
  </w:footnote>
  <w:footnote w:id="26">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“Copyright and Related Rights in the Digital Single Market | EUR-Lex,” June 6, 2019, </w:t>
      </w:r>
      <w:hyperlink r:id="rId22">
        <w:r w:rsidDel="00000000" w:rsidR="00000000" w:rsidRPr="00000000">
          <w:rPr>
            <w:rFonts w:ascii="Times New Roman" w:cs="Times New Roman" w:eastAsia="Times New Roman" w:hAnsi="Times New Roman"/>
            <w:color w:val="1155cc"/>
            <w:sz w:val="20"/>
            <w:szCs w:val="20"/>
            <w:u w:val="single"/>
            <w:rtl w:val="0"/>
          </w:rPr>
          <w:t xml:space="preserve">https://eur-lex.europa.eu/EN/legal-content/summary/copyright-and-related-rights-in-the-digital-single-market.html</w:t>
        </w:r>
      </w:hyperlink>
      <w:r w:rsidDel="00000000" w:rsidR="00000000" w:rsidRPr="00000000">
        <w:rPr>
          <w:rFonts w:ascii="Times New Roman" w:cs="Times New Roman" w:eastAsia="Times New Roman" w:hAnsi="Times New Roman"/>
          <w:sz w:val="20"/>
          <w:szCs w:val="20"/>
          <w:rtl w:val="0"/>
        </w:rPr>
        <w:t xml:space="preserve">. </w:t>
      </w:r>
    </w:p>
  </w:footnote>
  <w:footnote w:id="27">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Benedict Anderson, </w:t>
      </w:r>
      <w:r w:rsidDel="00000000" w:rsidR="00000000" w:rsidRPr="00000000">
        <w:rPr>
          <w:rFonts w:ascii="Times New Roman" w:cs="Times New Roman" w:eastAsia="Times New Roman" w:hAnsi="Times New Roman"/>
          <w:i w:val="1"/>
          <w:sz w:val="20"/>
          <w:szCs w:val="20"/>
          <w:rtl w:val="0"/>
        </w:rPr>
        <w:t xml:space="preserve">Imagined Communities: Reflections on the Origin and Spread of  Nationalism</w:t>
      </w:r>
      <w:r w:rsidDel="00000000" w:rsidR="00000000" w:rsidRPr="00000000">
        <w:rPr>
          <w:rFonts w:ascii="Times New Roman" w:cs="Times New Roman" w:eastAsia="Times New Roman" w:hAnsi="Times New Roman"/>
          <w:sz w:val="20"/>
          <w:szCs w:val="20"/>
          <w:rtl w:val="0"/>
        </w:rPr>
        <w:t xml:space="preserve">, Revised, 2006, </w:t>
      </w:r>
      <w:hyperlink r:id="rId23">
        <w:r w:rsidDel="00000000" w:rsidR="00000000" w:rsidRPr="00000000">
          <w:rPr>
            <w:rFonts w:ascii="Times New Roman" w:cs="Times New Roman" w:eastAsia="Times New Roman" w:hAnsi="Times New Roman"/>
            <w:color w:val="1155cc"/>
            <w:sz w:val="20"/>
            <w:szCs w:val="20"/>
            <w:u w:val="single"/>
            <w:rtl w:val="0"/>
          </w:rPr>
          <w:t xml:space="preserve">https://nationalismstudies.org/wp-content/uploads/2021/03/Imagined-Communities-Reflections-on-the-Origin-and-Spread-of-Nationalism-by-Benedict-Anderson-z-lib.org_.pdf</w:t>
        </w:r>
      </w:hyperlink>
      <w:r w:rsidDel="00000000" w:rsidR="00000000" w:rsidRPr="00000000">
        <w:rPr>
          <w:rFonts w:ascii="Times New Roman" w:cs="Times New Roman" w:eastAsia="Times New Roman" w:hAnsi="Times New Roman"/>
          <w:sz w:val="20"/>
          <w:szCs w:val="20"/>
          <w:rtl w:val="0"/>
        </w:rPr>
        <w:t xml:space="preserve">. </w:t>
      </w:r>
    </w:p>
  </w:footnote>
  <w:footnote w:id="28">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“Seoul High Court 2010Nu31319 - CaseNote,” n.d., </w:t>
      </w:r>
      <w:hyperlink r:id="rId24">
        <w:r w:rsidDel="00000000" w:rsidR="00000000" w:rsidRPr="00000000">
          <w:rPr>
            <w:rFonts w:ascii="Times New Roman" w:cs="Times New Roman" w:eastAsia="Times New Roman" w:hAnsi="Times New Roman"/>
            <w:color w:val="1155cc"/>
            <w:sz w:val="20"/>
            <w:szCs w:val="20"/>
            <w:u w:val="single"/>
            <w:rtl w:val="0"/>
          </w:rPr>
          <w:t xml:space="preserve">https://casenote.kr/%EC%84%9C%EC%9A%B8%EA%B3%A0%EB%93%B1%EB%B2%95%EC%9B%90/2010%EB%88%8431319</w:t>
        </w:r>
      </w:hyperlink>
      <w:r w:rsidDel="00000000" w:rsidR="00000000" w:rsidRPr="00000000">
        <w:rPr>
          <w:rFonts w:ascii="Times New Roman" w:cs="Times New Roman" w:eastAsia="Times New Roman" w:hAnsi="Times New Roman"/>
          <w:sz w:val="20"/>
          <w:szCs w:val="20"/>
          <w:rtl w:val="0"/>
        </w:rPr>
        <w:t xml:space="preserve">. </w:t>
      </w:r>
    </w:p>
  </w:footnote>
  <w:footnote w:id="19">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“Supreme Court 98Da43366 - CaseNote,” n.d., </w:t>
      </w:r>
      <w:hyperlink r:id="rId25">
        <w:r w:rsidDel="00000000" w:rsidR="00000000" w:rsidRPr="00000000">
          <w:rPr>
            <w:rFonts w:ascii="Times New Roman" w:cs="Times New Roman" w:eastAsia="Times New Roman" w:hAnsi="Times New Roman"/>
            <w:color w:val="1155cc"/>
            <w:sz w:val="20"/>
            <w:szCs w:val="20"/>
            <w:u w:val="single"/>
            <w:rtl w:val="0"/>
          </w:rPr>
          <w:t xml:space="preserve">https://casenote.kr/%EB%8C%80%EB%B2%95%EC%9B%90/98%EB%8B%A443366</w:t>
        </w:r>
      </w:hyperlink>
      <w:r w:rsidDel="00000000" w:rsidR="00000000" w:rsidRPr="00000000">
        <w:rPr>
          <w:rFonts w:ascii="Times New Roman" w:cs="Times New Roman" w:eastAsia="Times New Roman" w:hAnsi="Times New Roman"/>
          <w:sz w:val="20"/>
          <w:szCs w:val="20"/>
          <w:rtl w:val="0"/>
        </w:rPr>
        <w:t xml:space="preserve">. </w:t>
      </w:r>
    </w:p>
  </w:footnote>
  <w:footnote w:id="12">
    <w:p w:rsidR="00000000" w:rsidDel="00000000" w:rsidP="00000000" w:rsidRDefault="00000000" w:rsidRPr="00000000" w14:paraId="0000008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Guthrie, “Entered According to Act of Congress: Copyright and Photography in 19th Century America,” 72-73.</w:t>
      </w:r>
    </w:p>
  </w:footnote>
  <w:footnote w:id="17">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“Copyright Act,” 2025.</w:t>
      </w:r>
      <w:r w:rsidDel="00000000" w:rsidR="00000000" w:rsidRPr="00000000">
        <w:rPr>
          <w:rtl w:val="0"/>
        </w:rPr>
      </w:r>
    </w:p>
  </w:footnote>
  <w:footnote w:id="18">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6">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European Union, Directive 2001/29/EC of the European Parliament and of the Council of 22 May 2001 on the Harmonisation of Certain Aspects of Copyright and Related Rights in the Information Society, EUR-Lex, accessed October 30, 2025, https://eur-lex.europa.eu/LexUriServ/LexUriServ.do?uri=CELEX:32001L0029:en:HTML.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Hong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480" w:lineRule="auto"/>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line="480" w:lineRule="auto"/>
    </w:pPr>
    <w:rPr>
      <w:rFonts w:ascii="Times New Roman" w:cs="Times New Roman" w:eastAsia="Times New Roman" w:hAnsi="Times New Roman"/>
      <w:i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cholarship.law.duke.edu/dlj/vol40/iss2/8/" TargetMode="External"/><Relationship Id="rId22" Type="http://schemas.openxmlformats.org/officeDocument/2006/relationships/hyperlink" Target="https://www.jetir.org/view?paper=JETIR1908C48" TargetMode="External"/><Relationship Id="rId21" Type="http://schemas.openxmlformats.org/officeDocument/2006/relationships/hyperlink" Target="https://supreme.justia.com/cases/federal/us/111/53/" TargetMode="External"/><Relationship Id="rId24" Type="http://schemas.openxmlformats.org/officeDocument/2006/relationships/hyperlink" Target="https://casenote.kr/%EC%84%9C%EC%9A%B8%EA%B3%A0%EB%93%B1%EB%B2%95%EC%9B%90/2010%EB%88%8431319" TargetMode="External"/><Relationship Id="rId23" Type="http://schemas.openxmlformats.org/officeDocument/2006/relationships/hyperlink" Target="https://www.kci.go.kr/kciportal/ci/sereArticleSearch/ciSereArtiView.kci?sereArticleSearchBean.artiId=ART0019203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wobirds.com/en/insights/2020/global/eu-aims-to-be-a-global-norm-setter-regarding-ip" TargetMode="External"/><Relationship Id="rId26" Type="http://schemas.openxmlformats.org/officeDocument/2006/relationships/hyperlink" Target="https://plato.stanford.edu/entries/arendt/#ActiSpacAppe" TargetMode="External"/><Relationship Id="rId25" Type="http://schemas.openxmlformats.org/officeDocument/2006/relationships/hyperlink" Target="https://plato.stanford.edu/entries/arendt/#FreeNataPlur" TargetMode="External"/><Relationship Id="rId28" Type="http://schemas.openxmlformats.org/officeDocument/2006/relationships/hyperlink" Target="https://casenote.kr/%EB%8C%80%EB%B2%95%EC%9B%90/98%EB%8B%A443366" TargetMode="External"/><Relationship Id="rId27" Type="http://schemas.openxmlformats.org/officeDocument/2006/relationships/hyperlink" Target="https://plato.stanford.edu/entries/heidegger/#Tru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1080/13467581.2021.1971531" TargetMode="External"/><Relationship Id="rId7" Type="http://schemas.openxmlformats.org/officeDocument/2006/relationships/hyperlink" Target="https://doi.org/10.7390/100562" TargetMode="External"/><Relationship Id="rId8" Type="http://schemas.openxmlformats.org/officeDocument/2006/relationships/hyperlink" Target="https://doi.org/10.58519/aesthinv.v5i2.12980" TargetMode="External"/><Relationship Id="rId31" Type="http://schemas.openxmlformats.org/officeDocument/2006/relationships/header" Target="header1.xml"/><Relationship Id="rId30" Type="http://schemas.openxmlformats.org/officeDocument/2006/relationships/header" Target="header2.xml"/><Relationship Id="rId11" Type="http://schemas.openxmlformats.org/officeDocument/2006/relationships/hyperlink" Target="https://www.caareviews.org/reviews/2022" TargetMode="External"/><Relationship Id="rId10" Type="http://schemas.openxmlformats.org/officeDocument/2006/relationships/hyperlink" Target="https://papers.ssrn.com/sol3/papers.cfm?abstract_id=2664891#" TargetMode="External"/><Relationship Id="rId32" Type="http://schemas.openxmlformats.org/officeDocument/2006/relationships/footer" Target="footer1.xml"/><Relationship Id="rId13" Type="http://schemas.openxmlformats.org/officeDocument/2006/relationships/hyperlink" Target="https://eur-lex.europa.eu/EN/legal-content/summary/copyright-and-related-rights-in-the-digital-single-market.html" TargetMode="External"/><Relationship Id="rId12" Type="http://schemas.openxmlformats.org/officeDocument/2006/relationships/hyperlink" Target="https://zenodo.org/record/1246559/files/CREATe-Working-Paper-1802.pdf" TargetMode="External"/><Relationship Id="rId15" Type="http://schemas.openxmlformats.org/officeDocument/2006/relationships/hyperlink" Target="https://irights.info/artikel/lichtbild-vs-lichtbildwerk-unterschied/31634" TargetMode="External"/><Relationship Id="rId14" Type="http://schemas.openxmlformats.org/officeDocument/2006/relationships/hyperlink" Target="https://www.openbookpublishers.com/books/10.11647/obp.0247" TargetMode="External"/><Relationship Id="rId17" Type="http://schemas.openxmlformats.org/officeDocument/2006/relationships/hyperlink" Target="https://www.jstor.org/stable/26811005" TargetMode="External"/><Relationship Id="rId16" Type="http://schemas.openxmlformats.org/officeDocument/2006/relationships/hyperlink" Target="https://eur-lex.europa.eu/LexUriServ/LexUriServ.do?uri=CELEX:32001L0029:en:HTML" TargetMode="External"/><Relationship Id="rId19" Type="http://schemas.openxmlformats.org/officeDocument/2006/relationships/hyperlink" Target="https://doi.org/10.4324/9781315658445-12" TargetMode="External"/><Relationship Id="rId18" Type="http://schemas.openxmlformats.org/officeDocument/2006/relationships/hyperlink" Target="https://doi.org/10.16995/jer.13"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legalblogs.wolterskluwer.com/copyright-blog/derivative-works-the-adventures-of-koons-and-tintin-in-french-copyright-law/" TargetMode="External"/><Relationship Id="rId22" Type="http://schemas.openxmlformats.org/officeDocument/2006/relationships/hyperlink" Target="https://eur-lex.europa.eu/EN/legal-content/summary/copyright-and-related-rights-in-the-digital-single-market.html" TargetMode="External"/><Relationship Id="rId21" Type="http://schemas.openxmlformats.org/officeDocument/2006/relationships/hyperlink" Target="https://irights.info/artikel/lichtbild-vs-lichtbildwerk-unterschied/31634" TargetMode="External"/><Relationship Id="rId24" Type="http://schemas.openxmlformats.org/officeDocument/2006/relationships/hyperlink" Target="https://casenote.kr/%EC%84%9C%EC%9A%B8%EA%B3%A0%EB%93%B1%EB%B2%95%EC%9B%90/2010%EB%88%8431319" TargetMode="External"/><Relationship Id="rId23" Type="http://schemas.openxmlformats.org/officeDocument/2006/relationships/hyperlink" Target="https://nationalismstudies.org/wp-content/uploads/2021/03/Imagined-Communities-Reflections-on-the-Origin-and-Spread-of-Nationalism-by-Benedict-Anderson-z-lib.org_.pdf" TargetMode="External"/><Relationship Id="rId1" Type="http://schemas.openxmlformats.org/officeDocument/2006/relationships/hyperlink" Target="https://www.lab404.com/3741/readings/sontag.pdf" TargetMode="External"/><Relationship Id="rId2" Type="http://schemas.openxmlformats.org/officeDocument/2006/relationships/hyperlink" Target="https://www.jetir.org/view?paper=JETIR1908C48" TargetMode="External"/><Relationship Id="rId3" Type="http://schemas.openxmlformats.org/officeDocument/2006/relationships/hyperlink" Target="https://www.jstor.org/stable/25486216?seq=1" TargetMode="External"/><Relationship Id="rId4" Type="http://schemas.openxmlformats.org/officeDocument/2006/relationships/hyperlink" Target="https://doi.org/10.58519/aesthinv.v5i2.12980" TargetMode="External"/><Relationship Id="rId9" Type="http://schemas.openxmlformats.org/officeDocument/2006/relationships/hyperlink" Target="https://www.caareviews.org/reviews/2022" TargetMode="External"/><Relationship Id="rId25" Type="http://schemas.openxmlformats.org/officeDocument/2006/relationships/hyperlink" Target="https://casenote.kr/%EB%8C%80%EB%B2%95%EC%9B%90/98%EB%8B%A443366" TargetMode="External"/><Relationship Id="rId5" Type="http://schemas.openxmlformats.org/officeDocument/2006/relationships/hyperlink" Target="https://plato.stanford.edu/entries/heidegger/#Trut" TargetMode="External"/><Relationship Id="rId6" Type="http://schemas.openxmlformats.org/officeDocument/2006/relationships/hyperlink" Target="https://doi.org/10.16995/jer.13" TargetMode="External"/><Relationship Id="rId7" Type="http://schemas.openxmlformats.org/officeDocument/2006/relationships/hyperlink" Target="https://plato.stanford.edu/entries/arendt/#FreeNataPlur" TargetMode="External"/><Relationship Id="rId8" Type="http://schemas.openxmlformats.org/officeDocument/2006/relationships/hyperlink" Target="https://plato.stanford.edu/entries/arendt/#ActiSpacAppe" TargetMode="External"/><Relationship Id="rId11" Type="http://schemas.openxmlformats.org/officeDocument/2006/relationships/hyperlink" Target="https://supreme.justia.com/cases/federal/us/111/53/" TargetMode="External"/><Relationship Id="rId10" Type="http://schemas.openxmlformats.org/officeDocument/2006/relationships/hyperlink" Target="https://www.jstor.org/stable/26811005" TargetMode="External"/><Relationship Id="rId13" Type="http://schemas.openxmlformats.org/officeDocument/2006/relationships/hyperlink" Target="https://www.openbookpublishers.com/books/10.11647/obp.0247" TargetMode="External"/><Relationship Id="rId12" Type="http://schemas.openxmlformats.org/officeDocument/2006/relationships/hyperlink" Target="https://zenodo.org/record/1246559/files/CREATe-Working-Paper-1802.pdf" TargetMode="External"/><Relationship Id="rId15" Type="http://schemas.openxmlformats.org/officeDocument/2006/relationships/hyperlink" Target="https://papers.ssrn.com/sol3/papers.cfm?abstract_id=2664891#" TargetMode="External"/><Relationship Id="rId14" Type="http://schemas.openxmlformats.org/officeDocument/2006/relationships/hyperlink" Target="https://scholarship.law.duke.edu/dlj/vol40/iss2/8/" TargetMode="External"/><Relationship Id="rId17" Type="http://schemas.openxmlformats.org/officeDocument/2006/relationships/hyperlink" Target="https://www.semanticscholar.org/paper/To-Secure-These-Rights%3A-The-Supreme-Court-and-V.-Fishman/4e807dfb1319b54847ff0f3c1cf56495e1ad70ea" TargetMode="External"/><Relationship Id="rId16" Type="http://schemas.openxmlformats.org/officeDocument/2006/relationships/hyperlink" Target="https://www.twobirds.com/en/insights/2020/global/eu-aims-to-be-a-global-norm-setter-regarding-ip" TargetMode="External"/><Relationship Id="rId19" Type="http://schemas.openxmlformats.org/officeDocument/2006/relationships/hyperlink" Target="https://legalblogs.wolterskluwer.com/copyright-blog/copyright-protection-of-photographs-a-comparative-analysis-between-france-germany-and-italy/" TargetMode="External"/><Relationship Id="rId18" Type="http://schemas.openxmlformats.org/officeDocument/2006/relationships/hyperlink" Target="https://doi.org/10.7390/100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